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Internal training approval request</w:t>
      </w:r>
    </w:p>
    <w:p>
      <w:pPr>
        <w:spacing w:after="240"/>
      </w:pPr>
      <w:r>
        <w:rPr>
          <w:rFonts w:ascii="Noto Sans" w:hAnsi="Noto Sans" w:eastAsia="Noto Sans" w:cs="Noto Sans"/>
          <w:b w:val="0"/>
          <w:color w:val="5C7180"/>
          <w:sz w:val="20"/>
        </w:rPr>
        <w:t>Completed example for format review</w:t>
      </w:r>
    </w:p>
    <w:p>
      <w:r>
        <w:rPr>
          <w:rFonts w:ascii="Noto Sans" w:hAnsi="Noto Sans" w:eastAsia="Noto Sans" w:cs="Noto Sans"/>
        </w:rPr>
        <w:t>We request consideration of a Teamwork in Notion edition for six operations colleagues. The aim is to connect tasks and documentation so another person can continue a review without asking for the context again.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Field</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Programme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Teamwork in Notion</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Reference edition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8 live hours · 4 sessions of 2 h · English · Remote</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Planned trainer</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Guillermo Mascaraque Piña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Example team</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Operations · 6 participants · Internal coordination</w:t>
            </w:r>
          </w:p>
        </w:tc>
      </w:tr>
    </w:tbl>
    <w:p>
      <w:pPr>
        <w:spacing w:after="20" w:before="0" w:line="96" w:lineRule="auto"/>
      </w:pPr>
    </w:p>
    <w:p>
      <w:pPr>
        <w:pStyle w:val="Heading2"/>
      </w:pPr>
      <w:r>
        <w:rPr>
          <w:rFonts w:ascii="Noto Sans" w:hAnsi="Noto Sans" w:eastAsia="Noto Sans" w:cs="Noto Sans"/>
          <w:b/>
          <w:color w:val="000000"/>
          <w:sz w:val="24"/>
        </w:rPr>
        <w:t>The need</w:t>
      </w:r>
    </w:p>
    <w:p>
      <w:r>
        <w:rPr>
          <w:rFonts w:ascii="Noto Sans" w:hAnsi="Noto Sans" w:eastAsia="Noto Sans" w:cs="Noto Sans"/>
        </w:rPr>
        <w:t>When reviewing a service page, tasks have no owner or link to different copies of the brief. The team wants to practise finding the shared reference, updating status and ownership, and requesting a review with a specific question.</w:t>
      </w:r>
    </w:p>
    <w:p>
      <w:pPr>
        <w:pStyle w:val="Heading2"/>
      </w:pPr>
      <w:r>
        <w:rPr>
          <w:rFonts w:ascii="Noto Sans" w:hAnsi="Noto Sans" w:eastAsia="Noto Sans" w:cs="Noto Sans"/>
          <w:b/>
          <w:color w:val="000000"/>
          <w:sz w:val="24"/>
        </w:rPr>
        <w:t>The outcome we will check</w:t>
      </w:r>
    </w:p>
    <w:p>
      <w:pPr>
        <w:pStyle w:val="ListBullet"/>
      </w:pPr>
      <w:r>
        <w:rPr>
          <w:rFonts w:ascii="Noto Sans" w:hAnsi="Noto Sans" w:eastAsia="Noto Sans" w:cs="Noto Sans"/>
        </w:rPr>
        <w:t>A task with a linked brief, an owner and a status matching the outstanding work.</w:t>
      </w:r>
    </w:p>
    <w:p>
      <w:pPr>
        <w:pStyle w:val="ListBullet"/>
      </w:pPr>
      <w:r>
        <w:rPr>
          <w:rFonts w:ascii="Noto Sans" w:hAnsi="Noto Sans" w:eastAsia="Noto Sans" w:cs="Noto Sans"/>
        </w:rPr>
        <w:t>The recipient can open the documentation and explain the next step.</w:t>
      </w:r>
    </w:p>
    <w:p>
      <w:pPr>
        <w:pStyle w:val="ListBullet"/>
      </w:pPr>
      <w:r>
        <w:rPr>
          <w:rFonts w:ascii="Noto Sans" w:hAnsi="Noto Sans" w:eastAsia="Noto Sans" w:cs="Noto Sans"/>
        </w:rPr>
        <w:t>Each participant explains their choices and corrects an incomplete handover.</w:t>
      </w:r>
    </w:p>
    <w:p>
      <w:pPr>
        <w:shd w:fill="EAF4FA"/>
        <w:spacing w:before="160" w:after="160"/>
      </w:pPr>
      <w:r>
        <w:rPr>
          <w:rFonts w:ascii="Noto Sans" w:hAnsi="Noto Sans" w:eastAsia="Noto Sans" w:cs="Noto Sans"/>
          <w:sz w:val="19"/>
        </w:rPr>
        <w:t>The basic package includes a brief recommendation, communication kit and brief group report, together with a reference guide and downloadable, versioned practice materials for internal use. The authorised recipient and group report date are agreed for each edition.</w:t>
      </w:r>
    </w:p>
    <w:p>
      <w:r>
        <w:br w:type="page"/>
      </w:r>
    </w:p>
    <w:p>
      <w:pPr>
        <w:pStyle w:val="Heading1"/>
      </w:pPr>
      <w:r>
        <w:rPr>
          <w:rFonts w:ascii="Noto Sans" w:hAnsi="Noto Sans" w:eastAsia="Noto Sans" w:cs="Noto Sans"/>
          <w:b/>
          <w:color w:val="000000"/>
          <w:sz w:val="36"/>
        </w:rPr>
        <w:t>Commitment and decision</w:t>
      </w:r>
    </w:p>
    <w:p>
      <w:pPr>
        <w:pStyle w:val="Heading2"/>
      </w:pPr>
      <w:r>
        <w:rPr>
          <w:rFonts w:ascii="Noto Sans" w:hAnsi="Noto Sans" w:eastAsia="Noto Sans" w:cs="Noto Sans"/>
          <w:b/>
          <w:color w:val="000000"/>
          <w:sz w:val="24"/>
        </w:rPr>
        <w:t>Time to reserve</w:t>
      </w:r>
    </w:p>
    <w:p>
      <w:r>
        <w:rPr>
          <w:rFonts w:ascii="Noto Sans" w:hAnsi="Noto Sans" w:eastAsia="Noto Sans" w:cs="Noto Sans"/>
        </w:rPr>
        <w:t>Six participants × 8 live hours = 48 participant hours. Practice takes place during the sessions; this sample adds no work between sessions.</w:t>
      </w:r>
    </w:p>
    <w:p>
      <w:pPr>
        <w:pStyle w:val="Heading2"/>
      </w:pPr>
      <w:r>
        <w:rPr>
          <w:rFonts w:ascii="Noto Sans" w:hAnsi="Noto Sans" w:eastAsia="Noto Sans" w:cs="Noto Sans"/>
          <w:b/>
          <w:color w:val="000000"/>
          <w:sz w:val="24"/>
        </w:rPr>
        <w:t>Required preparation</w:t>
      </w:r>
    </w:p>
    <w:p>
      <w:r>
        <w:rPr>
          <w:rFonts w:ascii="Noto Sans" w:hAnsi="Noto Sans" w:eastAsia="Noto Sans" w:cs="Noto Sans"/>
        </w:rPr>
        <w:t>A Notion account and permissions for the practice workspace activities are required. TOF prepares the instructions and checklist; the trainer checks the practice and an alternative for blockers; the client owner coordinates participants and tests accounts and permissions. The access test, its date and who records and resolves each blocker are agreed for each edition. Participation needs are raised through the agreed private channel, without requesting diagnoses. Specific support arrangements are confirmed before the edition.</w:t>
      </w:r>
    </w:p>
    <w:p>
      <w:pPr>
        <w:pStyle w:val="Heading2"/>
      </w:pPr>
      <w:r>
        <w:rPr>
          <w:rFonts w:ascii="Noto Sans" w:hAnsi="Noto Sans" w:eastAsia="Noto Sans" w:cs="Noto Sans"/>
          <w:b/>
          <w:color w:val="000000"/>
          <w:sz w:val="24"/>
        </w:rPr>
        <w:t>Budget and boundaries</w:t>
      </w:r>
    </w:p>
    <w:p>
      <w:r>
        <w:rPr>
          <w:rFonts w:ascii="Noto Sans" w:hAnsi="Noto Sans" w:eastAsia="Noto Sans" w:cs="Noto Sans"/>
        </w:rPr>
        <w:t>Awaiting a commercial proposal. Confirm the fee, applicable taxes, accounts/licences, dates and Guillermo’s availability. Workspace design, permission administration and integrations are outside this reference edition.</w:t>
      </w:r>
    </w:p>
    <w:p>
      <w:r>
        <w:rPr>
          <w:rFonts w:ascii="Noto Sans" w:hAnsi="Noto Sans" w:eastAsia="Noto Sans" w:cs="Noto Sans"/>
        </w:rPr>
        <w:t>The client can retain an internal-use copy of the materials. The proposal records the inventory, version and the date until which TOF’s link will be available for the edition. Indefinite link access and future updates are not promised. Recordings require prior agreement. FUNDAE: external administration remains to be arranged. TOF provides administrative training documentation; it does not process or guarantee subsidisation.</w:t>
      </w:r>
    </w:p>
    <w:p>
      <w:pPr>
        <w:pStyle w:val="Heading2"/>
      </w:pPr>
      <w:r>
        <w:rPr>
          <w:rFonts w:ascii="Noto Sans" w:hAnsi="Noto Sans" w:eastAsia="Noto Sans" w:cs="Noto Sans"/>
          <w:b/>
          <w:color w:val="000000"/>
          <w:sz w:val="24"/>
        </w:rPr>
        <w:t>Proposed decision</w:t>
      </w:r>
    </w:p>
    <w:p>
      <w:r>
        <w:rPr>
          <w:rFonts w:ascii="Noto Sans" w:hAnsi="Noto Sans" w:eastAsia="Noto Sans" w:cs="Noto Sans"/>
        </w:rPr>
        <w:t>Request a quote and check access before confirming the edition. The operations owner would consolidate participant roles and HR would validate the time commitment. This sample makes no booking or spending commitment.</w:t>
      </w:r>
    </w:p>
    <w:p>
      <w:hyperlink r:id="rId11">
        <w:r>
          <w:rPr>
            <w:color w:val="3531D4"/>
            <w:rFonts w:ascii="Noto Sans" w:hAnsi="Noto Sans"/>
            <w:sz w:val="18"/>
          </w:rPr>
          <w:t>Teamwork in Notion course page</w:t>
        </w:r>
      </w:hyperlink>
    </w:p>
    <w:p>
      <w:pPr>
        <w:shd w:fill="EAF4FA"/>
        <w:spacing w:before="160" w:after="160"/>
      </w:pPr>
      <w:r>
        <w:rPr>
          <w:rFonts w:ascii="Noto Sans" w:hAnsi="Noto Sans" w:eastAsia="Noto Sans" w:cs="Noto Sans"/>
          <w:sz w:val="19"/>
        </w:rPr>
        <w:t>A brief group report is included. Authorised recipients and the delivery date are agreed; it summarises classroom capabilities and difficulties without rankings or job-performance assessment. One calendar month of email support after the final session, covering the content taught: up to two hours in total for the whole group, with a response within two working days.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BS08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SAMPLE · fictional data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en/training/courses/notion-team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training approval request</dc:title>
  <dc:subject>TOF Learn · BS08</dc:subject>
  <dc:creator>The Optimal Flow</dc:creator>
  <cp:keywords>Learn, editable, plantilla, template, en</cp:keywords>
  <dc:description>generated by python-docx</dc:description>
  <cp:lastModifiedBy/>
  <cp:revision>1</cp:revision>
  <dcterms:created xsi:type="dcterms:W3CDTF">2026-10-13T00:00:00Z</dcterms:created>
  <dcterms:modified xsi:type="dcterms:W3CDTF">2013-12-23T23:15:00Z</dcterms:modified>
  <cp:category/>
</cp:coreProperties>
</file>