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" w:hAnsi="Noto Sans" w:eastAsia="Noto Sans" w:cs="Noto Sans"/>
          <w:b/>
          <w:color w:val="000000"/>
          <w:sz w:val="48"/>
        </w:rPr>
        <w:t>Solicitud interna de formación</w:t>
      </w:r>
    </w:p>
    <w:p>
      <w:pPr>
        <w:spacing w:after="240"/>
      </w:pPr>
      <w:r>
        <w:rPr>
          <w:rFonts w:ascii="Noto Sans" w:hAnsi="Noto Sans" w:eastAsia="Noto Sans" w:cs="Noto Sans"/>
          <w:b w:val="0"/>
          <w:color w:val="5C7180"/>
          <w:sz w:val="20"/>
        </w:rPr>
        <w:t>Ejemplo cumplimentado para revisar el formato</w:t>
      </w:r>
    </w:p>
    <w:p>
      <w:r>
        <w:rPr>
          <w:rFonts w:ascii="Noto Sans" w:hAnsi="Noto Sans" w:eastAsia="Noto Sans" w:cs="Noto Sans"/>
        </w:rPr>
        <w:t>Solicitamos valorar una edición de Trabajo en equipo en Notion para seis personas del equipo de operaciones. El objetivo es dejar tareas y documentación conectadas para que otra persona pueda continuar una revisión sin volver a pedir el contexto.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81"/>
        <w:gridCol w:w="7143"/>
      </w:tblGrid>
      <w:tr>
        <w:trPr>
          <w:tblHeader/>
          <w:cantSplit/>
        </w:trPr>
        <w:tc>
          <w:tcPr>
            <w:tcW w:type="dxa" w:w="2381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Dato</w:t>
            </w:r>
          </w:p>
        </w:tc>
        <w:tc>
          <w:tcPr>
            <w:tcW w:type="dxa" w:w="7143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Completar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Programa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Trabajo en equipo en Notion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Edición de referencia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8 h en directo · 4 sesiones de 2 h · Español · Remoto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Docente previsto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Guillermo Mascaraque Piña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Equipo de ejemplo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Operaciones · 6 participantes · Coordinación interna</w:t>
            </w:r>
          </w:p>
        </w:tc>
      </w:tr>
    </w:tbl>
    <w:p>
      <w:pPr>
        <w:spacing w:after="20" w:before="0" w:line="96" w:lineRule="auto"/>
      </w:pP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La necesidad</w:t>
      </w:r>
    </w:p>
    <w:p>
      <w:r>
        <w:rPr>
          <w:rFonts w:ascii="Noto Sans" w:hAnsi="Noto Sans" w:eastAsia="Noto Sans" w:cs="Noto Sans"/>
        </w:rPr>
        <w:t>Al revisar una página de servicio, las tareas carecen de responsable o apuntan a copias distintas del briefing. El equipo quiere practicar cómo localizar la referencia compartida, actualizar estado y responsable y solicitar una revisión con una pregunta concreta.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El resultado que comprobaremos</w:t>
      </w:r>
    </w:p>
    <w:p>
      <w:pPr>
        <w:pStyle w:val="ListBullet"/>
      </w:pPr>
      <w:r>
        <w:rPr>
          <w:rFonts w:ascii="Noto Sans" w:hAnsi="Noto Sans" w:eastAsia="Noto Sans" w:cs="Noto Sans"/>
        </w:rPr>
        <w:t>Tarea con briefing enlazado, responsable y estado coherentes.</w:t>
      </w:r>
    </w:p>
    <w:p>
      <w:pPr>
        <w:pStyle w:val="ListBullet"/>
      </w:pPr>
      <w:r>
        <w:rPr>
          <w:rFonts w:ascii="Noto Sans" w:hAnsi="Noto Sans" w:eastAsia="Noto Sans" w:cs="Noto Sans"/>
        </w:rPr>
        <w:t>La persona que recibe el trabajo puede abrir la documentación y explicar el siguiente paso.</w:t>
      </w:r>
    </w:p>
    <w:p>
      <w:pPr>
        <w:pStyle w:val="ListBullet"/>
      </w:pPr>
      <w:r>
        <w:rPr>
          <w:rFonts w:ascii="Noto Sans" w:hAnsi="Noto Sans" w:eastAsia="Noto Sans" w:cs="Noto Sans"/>
        </w:rPr>
        <w:t>Cada participante justifica sus decisiones y corrige una entrega incompleta.</w:t>
      </w:r>
    </w:p>
    <w:p>
      <w:pPr>
        <w:shd w:fill="EAF4FA"/>
        <w:spacing w:before="160" w:after="160"/>
      </w:pPr>
      <w:r>
        <w:rPr>
          <w:rFonts w:ascii="Noto Sans" w:hAnsi="Noto Sans" w:eastAsia="Noto Sans" w:cs="Noto Sans"/>
          <w:sz w:val="19"/>
        </w:rPr>
        <w:t>El paquete básico incluye recomendación breve, kit de comunicación e informe breve de grupo, además de guía y materiales de práctica descargables y versionados para uso interno. El destinatario autorizado y la fecha del informe de grupo se acuerdan por edición.</w:t>
      </w:r>
    </w:p>
    <w:p>
      <w:r>
        <w:br w:type="page"/>
      </w:r>
    </w:p>
    <w:p>
      <w:pPr>
        <w:pStyle w:val="Heading1"/>
      </w:pPr>
      <w:r>
        <w:rPr>
          <w:rFonts w:ascii="Noto Sans" w:hAnsi="Noto Sans" w:eastAsia="Noto Sans" w:cs="Noto Sans"/>
          <w:b/>
          <w:color w:val="000000"/>
          <w:sz w:val="36"/>
        </w:rPr>
        <w:t>Dedicación y decisión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Tiempo que necesitamos reservar</w:t>
      </w:r>
    </w:p>
    <w:p>
      <w:r>
        <w:rPr>
          <w:rFonts w:ascii="Noto Sans" w:hAnsi="Noto Sans" w:eastAsia="Noto Sans" w:cs="Noto Sans"/>
        </w:rPr>
        <w:t>Seis participantes × 8 horas en directo = 48 horas de participación. La práctica se realiza durante las sesiones; no se añade trabajo entre sesiones en esta muestra.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Preparación necesaria</w:t>
      </w:r>
    </w:p>
    <w:p>
      <w:r>
        <w:rPr>
          <w:rFonts w:ascii="Noto Sans" w:hAnsi="Noto Sans" w:eastAsia="Noto Sans" w:cs="Noto Sans"/>
        </w:rPr>
        <w:t>Se necesitan cuenta de Notion y permisos para las actividades del espacio de práctica. TOF prepara las instrucciones y el checklist; el docente comprueba la práctica y su alternativa ante bloqueos; la persona responsable del cliente coordina participantes y prueba cuentas y permisos. Se acuerdan la fecha, la prueba de acceso y quién registra y resuelve cada bloqueo por edición. Las necesidades funcionales se comunican por el canal privado acordado, sin pedir diagnósticos. Los apoyos específicos se confirman antes de la edición.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Presupuesto y límites</w:t>
      </w:r>
    </w:p>
    <w:p>
      <w:r>
        <w:rPr>
          <w:rFonts w:ascii="Noto Sans" w:hAnsi="Noto Sans" w:eastAsia="Noto Sans" w:cs="Noto Sans"/>
        </w:rPr>
        <w:t>Pendiente de propuesta comercial. Deben confirmarse importe, impuestos aplicables, cuentas/licencias, fechas y disponibilidad de Guillermo. El diseño del workspace, la administración de permisos y las integraciones no forman parte de esta edición de referencia.</w:t>
      </w:r>
    </w:p>
    <w:p>
      <w:r>
        <w:rPr>
          <w:rFonts w:ascii="Noto Sans" w:hAnsi="Noto Sans" w:eastAsia="Noto Sans" w:cs="Noto Sans"/>
        </w:rPr>
        <w:t>El cliente puede conservar su copia de los materiales para uso interno. La propuesta concreta inventario, versión y fecha hasta la que estará disponible el enlace de TOF por edición. No se promete acceso indefinido al enlace ni futuras actualizaciones. Las grabaciones requieren acuerdo previo. FUNDAE: gestión externa aún por concretar. TOF aporta documentación administrativa de la formación; no tramita la bonificación ni garantiza su aplicación.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Propuesta de decisión</w:t>
      </w:r>
    </w:p>
    <w:p>
      <w:r>
        <w:rPr>
          <w:rFonts w:ascii="Noto Sans" w:hAnsi="Noto Sans" w:eastAsia="Noto Sans" w:cs="Noto Sans"/>
        </w:rPr>
        <w:t>Pedir presupuesto y comprobar accesos antes de confirmar la edición. La persona responsable de operaciones consolidaría los perfiles y RR. HH. validaría la dedicación. Sin reserva ni compromiso de gasto en esta muestra.</w:t>
      </w:r>
    </w:p>
    <w:p>
      <w:hyperlink r:id="rId11">
        <w:r>
          <w:rPr>
            <w:color w:val="3531D4"/>
            <w:rFonts w:ascii="Noto Sans" w:hAnsi="Noto Sans"/>
            <w:sz w:val="18"/>
          </w:rPr>
          <w:t>Ficha de Trabajo en equipo en Notion</w:t>
        </w:r>
      </w:hyperlink>
    </w:p>
    <w:p>
      <w:pPr>
        <w:shd w:fill="EAF4FA"/>
        <w:spacing w:before="160" w:after="160"/>
      </w:pPr>
      <w:r>
        <w:rPr>
          <w:rFonts w:ascii="Noto Sans" w:hAnsi="Noto Sans" w:eastAsia="Noto Sans" w:cs="Noto Sans"/>
          <w:sz w:val="19"/>
        </w:rPr>
        <w:t>El informe breve de grupo está incluido. Se acuerdan destinatarios autorizados y fecha de entrega; resume capacidades y dificultades observadas en aula, sin rankings ni evaluación del rendimiento laboral. Un mes natural de soporte por correo tras la última sesión, sobre el contenido impartido: hasta dos horas acumuladas para el conjunto del grupo, con respuesta en un máximo de dos días laborables.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191" w:bottom="907" w:left="1191" w:header="340" w:footer="369" w:gutter="0"/>
      <w:cols w:space="720"/>
      <w:docGrid w:linePitch="360"/>
    </w:sectPr>
  </w:body>
</w:document>
</file>

<file path=word/fontTable.xml><?xml version="1.0" encoding="utf-8"?>
<ns0:fonts xmlns:ns0="http://schemas.openxmlformats.org/wordprocessingml/2006/main" xmlns:ns1="http://schemas.openxmlformats.org/markup-compatibility/2006" ns1:Ignorable="w14">
  <ns0:font ns0:name="Symbol">
    <ns0:panose1 ns0:val="00000000000000000000"/>
    <ns0:charset ns0:val="02"/>
    <ns0:family ns0:val="auto"/>
    <ns0:pitch ns0:val="variable"/>
    <ns0:sig ns0:usb0="00000000" ns0:usb1="10000000" ns0:usb2="00000000" ns0:usb3="00000000" ns0:csb0="80000000" ns0:csb1="00000000"/>
  </ns0:font>
  <ns0:font ns0:name="Times New Roman">
    <ns0:panose1 ns0:val="02020603050405020304"/>
    <ns0:charset ns0:val="00"/>
    <ns0:family ns0:val="auto"/>
    <ns0:pitch ns0:val="variable"/>
    <ns0:sig ns0:usb0="E0002AFF" ns0:usb1="C0007841" ns0:usb2="00000009" ns0:usb3="00000000" ns0:csb0="000001FF" ns0:csb1="00000000"/>
  </ns0:font>
  <ns0:font ns0:name="Cambria">
    <ns0:panose1 ns0:val="02040503050406030204"/>
    <ns0:charset ns0:val="00"/>
    <ns0:family ns0:val="auto"/>
    <ns0:pitch ns0:val="variable"/>
    <ns0:sig ns0:usb0="E00002FF" ns0:usb1="400004FF" ns0:usb2="00000000" ns0:usb3="00000000" ns0:csb0="0000019F" ns0:csb1="00000000"/>
  </ns0:font>
  <ns0:font ns0:name="ＭＳ 明朝">
    <ns0:panose1 ns0:val="00000000000000000000"/>
    <ns0:charset ns0:val="80"/>
    <ns0:family ns0:val="roman"/>
    <ns0:notTrueType/>
    <ns0:pitch ns0:val="fixed"/>
    <ns0:sig ns0:usb0="00000001" ns0:usb1="08070000" ns0:usb2="00000010" ns0:usb3="00000000" ns0:csb0="00020000" ns0:csb1="00000000"/>
  </ns0:font>
  <ns0:font ns0:name="Calibri">
    <ns0:panose1 ns0:val="020F0502020204030204"/>
    <ns0:charset ns0:val="00"/>
    <ns0:family ns0:val="auto"/>
    <ns0:pitch ns0:val="variable"/>
    <ns0:sig ns0:usb0="E10002FF" ns0:usb1="4000ACFF" ns0:usb2="00000009" ns0:usb3="00000000" ns0:csb0="0000019F" ns0:csb1="00000000"/>
  </ns0:font>
  <ns0:font ns0:name="ＭＳ ゴシック">
    <ns0:panose1 ns0:val="00000000000000000000"/>
    <ns0:charset ns0:val="80"/>
    <ns0:family ns0:val="modern"/>
    <ns0:notTrueType/>
    <ns0:pitch ns0:val="fixed"/>
    <ns0:sig ns0:usb0="00000001" ns0:usb1="08070000" ns0:usb2="00000010" ns0:usb3="00000000" ns0:csb0="00020000" ns0:csb1="00000000"/>
  </ns0:font>
  <ns0:font ns0:name="Courier">
    <ns0:panose1 ns0:val="02000500000000000000"/>
    <ns0:charset ns0:val="00"/>
    <ns0:family ns0:val="auto"/>
    <ns0:pitch ns0:val="variable"/>
    <ns0:sig ns0:usb0="00000003" ns0:usb1="00000000" ns0:usb2="00000000" ns0:usb3="00000000" ns0:csb0="00000001" ns0:csb1="00000000"/>
  </ns0:font>
  <ns0:font ns0:name="Arial">
    <ns0:panose1 ns0:val="020B0604020202020204"/>
    <ns0:charset ns0:val="00"/>
    <ns0:family ns0:val="auto"/>
    <ns0:pitch ns0:val="variable"/>
    <ns0:sig ns0:usb0="E0002AFF" ns0:usb1="C0007843" ns0:usb2="00000009" ns0:usb3="00000000" ns0:csb0="000001FF" ns0:csb1="00000000"/>
  </ns0:font>
  <ns0:font ns0:name="Noto Sans">
    <ns0:altName ns0:val="Noto Sans"/>
    <ns0:family ns0:val="swiss"/>
    <ns0:pitch ns0:val="variable"/>
    <ns0:charset ns0:val="00"/>
    <ns0:panose1 ns0:val="020B0504020202020204"/>
  </ns0:font>
</ns0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" w:hAnsi="Noto Sans" w:eastAsia="Noto Sans" w:cs="Noto Sans"/>
        <w:b w:val="0"/>
        <w:color w:val="5C7180"/>
        <w:sz w:val="16"/>
      </w:rPr>
      <w:t xml:space="preserve">TOF Learn · BS08 · v2 · </w:t>
    </w:r>
    <w:fldSimple w:instr="PAGE">
      <w:r>
        <w:t>1</w:t>
      </w:r>
    </w:fldSimple>
    <w:r>
      <w:rPr>
        <w:rFonts w:ascii="Noto Sans" w:hAnsi="Noto Sans" w:eastAsia="Noto Sans" w:cs="Noto Sans"/>
        <w:b w:val="0"/>
        <w:color w:val="5C7180"/>
        <w:sz w:val="16"/>
      </w:rPr>
      <w:t xml:space="preserve"> /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24" w:val="right"/>
      </w:tabs>
    </w:pPr>
    <w:r>
      <w:rPr>
        <w:rFonts w:ascii="Noto Sans" w:hAnsi="Noto Sans" w:eastAsia="Noto Sans" w:cs="Noto Sans"/>
        <w:b/>
        <w:color w:val="000000"/>
        <w:sz w:val="18"/>
      </w:rPr>
      <w:t>The Optimal Flow  /  learn</w:t>
    </w:r>
    <w:r>
      <w:rPr>
        <w:rFonts w:ascii="Noto Sans" w:hAnsi="Noto Sans" w:eastAsia="Noto Sans" w:cs="Noto Sans"/>
        <w:b w:val="0"/>
        <w:color w:val="5C7180"/>
        <w:sz w:val="16"/>
      </w:rPr>
      <w:tab/>
      <w:t>MUESTRA · datos ficticios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es-ES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1" w:lineRule="auto"/>
    </w:pPr>
    <w:rPr>
      <w:rFonts w:ascii="Noto Sans" w:hAnsi="Noto Sans"/>
      <w:color w:val="183746"/>
      <w:sz w:val="22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Noto Sans" w:hAnsi="Noto San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Noto Sans" w:hAnsi="Noto San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80"/>
      <w:contextualSpacing/>
    </w:pPr>
    <w:rPr>
      <w:rFonts w:ascii="Noto Sans" w:hAnsi="Noto Sans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theoptimalflow.com/formacion/cursos/notion-equi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interna de formación</dc:title>
  <dc:subject>TOF Learn · BS08</dc:subject>
  <dc:creator>The Optimal Flow</dc:creator>
  <cp:keywords>Learn, editable, plantilla, template, es</cp:keywords>
  <dc:description>generated by python-docx</dc:description>
  <cp:lastModifiedBy/>
  <cp:revision>1</cp:revision>
  <dcterms:created xsi:type="dcterms:W3CDTF">2026-10-13T00:00:00Z</dcterms:created>
  <dcterms:modified xsi:type="dcterms:W3CDTF">2013-12-23T23:15:00Z</dcterms:modified>
  <cp:category/>
</cp:coreProperties>
</file>