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Internal training approval request</w:t>
      </w:r>
    </w:p>
    <w:p>
      <w:pPr>
        <w:spacing w:after="240"/>
      </w:pPr>
      <w:r>
        <w:rPr>
          <w:rFonts w:ascii="Noto Sans" w:hAnsi="Noto Sans" w:eastAsia="Noto Sans" w:cs="Noto Sans"/>
          <w:b w:val="0"/>
          <w:color w:val="5C7180"/>
          <w:sz w:val="20"/>
        </w:rPr>
        <w:t>Complete and adapt before use</w:t>
      </w:r>
    </w:p>
    <w:p>
      <w:r>
        <w:rPr>
          <w:rFonts w:ascii="Noto Sans" w:hAnsi="Noto Sans" w:eastAsia="Noto Sans" w:cs="Noto Sans"/>
        </w:rPr>
        <w:t>Explain the need, time commitment and intended check to management or HR. Complete the fields and compare the scope with the current course page before requesting approval.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Programme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[Title and current link]</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Team and participants</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[Department, roles and number]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Edition</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[Hours, sessions, language, delivery mode and dates to agree]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Requester and approver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[Internal owners]</w:t>
            </w:r>
          </w:p>
        </w:tc>
      </w:tr>
    </w:tbl>
    <w:p>
      <w:pPr>
        <w:spacing w:after="20" w:before="0" w:line="96" w:lineRule="auto"/>
      </w:pPr>
    </w:p>
    <w:p>
      <w:pPr>
        <w:pStyle w:val="Heading2"/>
      </w:pPr>
      <w:r>
        <w:rPr>
          <w:rFonts w:ascii="Noto Sans" w:hAnsi="Noto Sans" w:eastAsia="Noto Sans" w:cs="Noto Sans"/>
          <w:b/>
          <w:color w:val="000000"/>
          <w:sz w:val="24"/>
        </w:rPr>
        <w:t>Why we need it</w:t>
      </w:r>
    </w:p>
    <w:p>
      <w:r>
        <w:rPr>
          <w:rFonts w:ascii="Noto Sans" w:hAnsi="Noto Sans" w:eastAsia="Noto Sans" w:cs="Noto Sans"/>
        </w:rPr>
        <w:t>[Describe a recurring task, the observable problem and who it affects. Include an authorised example without unnecessary personal data.]</w:t>
      </w:r>
    </w:p>
    <w:p>
      <w:pPr>
        <w:pStyle w:val="Heading2"/>
      </w:pPr>
      <w:r>
        <w:rPr>
          <w:rFonts w:ascii="Noto Sans" w:hAnsi="Noto Sans" w:eastAsia="Noto Sans" w:cs="Noto Sans"/>
          <w:b/>
          <w:color w:val="000000"/>
          <w:sz w:val="24"/>
        </w:rPr>
        <w:t>What we will practise</w:t>
      </w:r>
    </w:p>
    <w:p>
      <w:pPr>
        <w:pStyle w:val="ListBullet"/>
      </w:pPr>
      <w:r>
        <w:rPr>
          <w:rFonts w:ascii="Noto Sans" w:hAnsi="Noto Sans" w:eastAsia="Noto Sans" w:cs="Noto Sans"/>
        </w:rPr>
        <w:t>[Capability to practise and expected evidence]</w:t>
      </w:r>
    </w:p>
    <w:p>
      <w:pPr>
        <w:pStyle w:val="ListBullet"/>
      </w:pPr>
      <w:r>
        <w:rPr>
          <w:rFonts w:ascii="Noto Sans" w:hAnsi="Noto Sans" w:eastAsia="Noto Sans" w:cs="Noto Sans"/>
        </w:rPr>
        <w:t>[Second observable outcome]</w:t>
      </w:r>
    </w:p>
    <w:p>
      <w:pPr>
        <w:pStyle w:val="ListBullet"/>
      </w:pPr>
      <w:r>
        <w:rPr>
          <w:rFonts w:ascii="Noto Sans" w:hAnsi="Noto Sans" w:eastAsia="Noto Sans" w:cs="Noto Sans"/>
        </w:rPr>
        <w:t>[What is outside scope]</w:t>
      </w:r>
    </w:p>
    <w:p>
      <w:pPr>
        <w:shd w:fill="EAF4FA"/>
        <w:spacing w:before="160" w:after="160"/>
      </w:pPr>
      <w:r>
        <w:rPr>
          <w:rFonts w:ascii="Noto Sans" w:hAnsi="Noto Sans" w:eastAsia="Noto Sans" w:cs="Noto Sans"/>
          <w:sz w:val="19"/>
        </w:rPr>
        <w:t>The basic package includes a brief recommendation, communication kit and brief group report, together with a reference guide and downloadable, versioned practice materials for internal use. The authorised recipient and group report date are agreed for each edition.</w:t>
      </w:r>
    </w:p>
    <w:p>
      <w:r>
        <w:br w:type="page"/>
      </w:r>
    </w:p>
    <w:p>
      <w:pPr>
        <w:pStyle w:val="Heading1"/>
      </w:pPr>
      <w:r>
        <w:rPr>
          <w:rFonts w:ascii="Noto Sans" w:hAnsi="Noto Sans" w:eastAsia="Noto Sans" w:cs="Noto Sans"/>
          <w:b/>
          <w:color w:val="000000"/>
          <w:sz w:val="36"/>
        </w:rPr>
        <w:t>Commitment and decision</w:t>
      </w:r>
    </w:p>
    <w:p>
      <w:pPr>
        <w:pStyle w:val="Heading2"/>
      </w:pPr>
      <w:r>
        <w:rPr>
          <w:rFonts w:ascii="Noto Sans" w:hAnsi="Noto Sans" w:eastAsia="Noto Sans" w:cs="Noto Sans"/>
          <w:b/>
          <w:color w:val="000000"/>
          <w:sz w:val="24"/>
        </w:rPr>
        <w:t>Time and preparation</w:t>
      </w:r>
    </w:p>
    <w:p>
      <w:r>
        <w:rPr>
          <w:rFonts w:ascii="Noto Sans" w:hAnsi="Noto Sans" w:eastAsia="Noto Sans" w:cs="Noto Sans"/>
        </w:rPr>
        <w:t>[Participants × live hours = participant hours. Preparation: TOF, trainer and client owners; date and access test to agree.]</w:t>
      </w:r>
    </w:p>
    <w:p>
      <w:r>
        <w:rPr>
          <w:rFonts w:ascii="Noto Sans" w:hAnsi="Noto Sans" w:eastAsia="Noto Sans" w:cs="Noto Sans"/>
        </w:rPr>
        <w:t>TOF prepares the instructions and checklist; the trainer checks the practice and an alternative for blockers; the client owner coordinates participants and tests accounts and permissions. The access test, its date and who records and resolves each blocker are agreed for each edition. Participation needs are raised through the agreed private channel, without requesting diagnoses. Specific support arrangements are confirmed before the edition.</w:t>
      </w:r>
    </w:p>
    <w:p>
      <w:pPr>
        <w:pStyle w:val="Heading2"/>
      </w:pPr>
      <w:r>
        <w:rPr>
          <w:rFonts w:ascii="Noto Sans" w:hAnsi="Noto Sans" w:eastAsia="Noto Sans" w:cs="Noto Sans"/>
          <w:b/>
          <w:color w:val="000000"/>
          <w:sz w:val="24"/>
        </w:rPr>
        <w:t>Cost and terms to confirm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Budget</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[Quote, taxes and licences where applicable]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Basic package materials</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[Inventory, version and TOF link end date; client’s internal copy]</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FUNDAE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FUNDAE: external administration remains to be arranged. TOF provides administrative training documentation; it does not process or guarantee subsidisation.</w:t>
            </w:r>
          </w:p>
        </w:tc>
      </w:tr>
    </w:tbl>
    <w:p>
      <w:pPr>
        <w:spacing w:after="20" w:before="0" w:line="96" w:lineRule="auto"/>
      </w:pPr>
    </w:p>
    <w:p>
      <w:pPr>
        <w:pStyle w:val="Heading2"/>
      </w:pPr>
      <w:r>
        <w:rPr>
          <w:rFonts w:ascii="Noto Sans" w:hAnsi="Noto Sans" w:eastAsia="Noto Sans" w:cs="Noto Sans"/>
          <w:b/>
          <w:color w:val="000000"/>
          <w:sz w:val="24"/>
        </w:rPr>
        <w:t>How we will check learning</w:t>
      </w:r>
    </w:p>
    <w:p>
      <w:r>
        <w:rPr>
          <w:rFonts w:ascii="Noto Sans" w:hAnsi="Noto Sans" w:eastAsia="Noto Sans" w:cs="Noto Sans"/>
        </w:rPr>
        <w:t>[Comparable initial and final task, individual evidence, reviewer and criterion. Distinguish classroom performance from a later business outcome.]</w:t>
      </w:r>
    </w:p>
    <w:p>
      <w:pPr>
        <w:pStyle w:val="Heading2"/>
      </w:pPr>
      <w:r>
        <w:rPr>
          <w:rFonts w:ascii="Noto Sans" w:hAnsi="Noto Sans" w:eastAsia="Noto Sans" w:cs="Noto Sans"/>
          <w:b/>
          <w:color w:val="000000"/>
          <w:sz w:val="24"/>
        </w:rPr>
        <w:t>Requested decision</w:t>
      </w:r>
    </w:p>
    <w:p>
      <w:r>
        <w:rPr>
          <w:rFonts w:ascii="Noto Sans" w:hAnsi="Noto Sans" w:eastAsia="Noto Sans" w:cs="Noto Sans"/>
        </w:rPr>
        <w:t>[Approve / request changes / defer. Owner, date and terms to resolve before booking.]</w:t>
      </w:r>
    </w:p>
    <w:p>
      <w:pPr>
        <w:shd w:fill="EAF4FA"/>
        <w:spacing w:before="160" w:after="160"/>
      </w:pPr>
      <w:r>
        <w:rPr>
          <w:rFonts w:ascii="Noto Sans" w:hAnsi="Noto Sans" w:eastAsia="Noto Sans" w:cs="Noto Sans"/>
          <w:sz w:val="19"/>
        </w:rPr>
        <w:t>The client can retain an internal-use copy of the materials. The proposal records the inventory, version and the date until which TOF’s link will be available for the edition. Indefinite link access and future updates are not promised. Recordings require prior agreement. One calendar month of email support after the final session, covering the content taught: up to two hours in total for the whole group, with a response within two working days.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BS08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EDITABLE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training approval request</dc:title>
  <dc:subject>TOF Learn · BS08</dc:subject>
  <dc:creator>The Optimal Flow</dc:creator>
  <cp:keywords>Learn, editable, plantilla, template, en</cp:keywords>
  <dc:description>generated by python-docx</dc:description>
  <cp:lastModifiedBy/>
  <cp:revision>1</cp:revision>
  <dcterms:created xsi:type="dcterms:W3CDTF">2026-10-13T00:00:00Z</dcterms:created>
  <dcterms:modified xsi:type="dcterms:W3CDTF">2013-12-23T23:15:00Z</dcterms:modified>
  <cp:category/>
</cp:coreProperties>
</file>