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ans" w:hAnsi="Noto Sans" w:eastAsia="Noto Sans" w:cs="Noto Sans"/>
          <w:b/>
          <w:color w:val="000000"/>
          <w:sz w:val="48"/>
        </w:rPr>
        <w:t>Solicitud interna de formación</w:t>
      </w:r>
    </w:p>
    <w:p>
      <w:pPr>
        <w:spacing w:after="240"/>
      </w:pPr>
      <w:r>
        <w:rPr>
          <w:rFonts w:ascii="Noto Sans" w:hAnsi="Noto Sans" w:eastAsia="Noto Sans" w:cs="Noto Sans"/>
          <w:b w:val="0"/>
          <w:color w:val="5C7180"/>
          <w:sz w:val="20"/>
        </w:rPr>
        <w:t>Completar y adaptar antes de utilizar</w:t>
      </w:r>
    </w:p>
    <w:p>
      <w:r>
        <w:rPr>
          <w:rFonts w:ascii="Noto Sans" w:hAnsi="Noto Sans" w:eastAsia="Noto Sans" w:cs="Noto Sans"/>
        </w:rPr>
        <w:t>Presenta a dirección o RR. HH. la necesidad, la dedicación y el resultado que queréis comprobar. Completa los campos y contrasta el alcance con la ficha vigente antes de solicitar aprobación.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81"/>
        <w:gridCol w:w="7143"/>
      </w:tblGrid>
      <w:tr>
        <w:trPr>
          <w:tblHeader/>
          <w:cantSplit/>
        </w:trPr>
        <w:tc>
          <w:tcPr>
            <w:tcW w:type="dxa" w:w="2381"/>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Dato</w:t>
            </w:r>
          </w:p>
        </w:tc>
        <w:tc>
          <w:tcPr>
            <w:tcW w:type="dxa" w:w="7143"/>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Completar</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Programa</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[Título y enlace vigente]</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Equipo y participantes</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[Área, perfiles y número]</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Edición</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[Horas, sesiones, idioma, modalidad y fechas por acordar]</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Solicita y aprueba</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[Responsables internos]</w:t>
            </w:r>
          </w:p>
        </w:tc>
      </w:tr>
    </w:tbl>
    <w:p>
      <w:pPr>
        <w:spacing w:after="20" w:before="0" w:line="96" w:lineRule="auto"/>
      </w:pPr>
    </w:p>
    <w:p>
      <w:pPr>
        <w:pStyle w:val="Heading2"/>
      </w:pPr>
      <w:r>
        <w:rPr>
          <w:rFonts w:ascii="Noto Sans" w:hAnsi="Noto Sans" w:eastAsia="Noto Sans" w:cs="Noto Sans"/>
          <w:b/>
          <w:color w:val="000000"/>
          <w:sz w:val="24"/>
        </w:rPr>
        <w:t>Por qué lo necesitamos</w:t>
      </w:r>
    </w:p>
    <w:p>
      <w:r>
        <w:rPr>
          <w:rFonts w:ascii="Noto Sans" w:hAnsi="Noto Sans" w:eastAsia="Noto Sans" w:cs="Noto Sans"/>
        </w:rPr>
        <w:t>[Describe una tarea habitual, el problema observable y a quién afecta. Aporta un ejemplo autorizado, sin datos personales innecesarios.]</w:t>
      </w:r>
    </w:p>
    <w:p>
      <w:pPr>
        <w:pStyle w:val="Heading2"/>
      </w:pPr>
      <w:r>
        <w:rPr>
          <w:rFonts w:ascii="Noto Sans" w:hAnsi="Noto Sans" w:eastAsia="Noto Sans" w:cs="Noto Sans"/>
          <w:b/>
          <w:color w:val="000000"/>
          <w:sz w:val="24"/>
        </w:rPr>
        <w:t>Qué cambiaremos durante la formación</w:t>
      </w:r>
    </w:p>
    <w:p>
      <w:pPr>
        <w:pStyle w:val="ListBullet"/>
      </w:pPr>
      <w:r>
        <w:rPr>
          <w:rFonts w:ascii="Noto Sans" w:hAnsi="Noto Sans" w:eastAsia="Noto Sans" w:cs="Noto Sans"/>
        </w:rPr>
        <w:t>[Capacidad que se practicará y evidencia esperada]</w:t>
      </w:r>
    </w:p>
    <w:p>
      <w:pPr>
        <w:pStyle w:val="ListBullet"/>
      </w:pPr>
      <w:r>
        <w:rPr>
          <w:rFonts w:ascii="Noto Sans" w:hAnsi="Noto Sans" w:eastAsia="Noto Sans" w:cs="Noto Sans"/>
        </w:rPr>
        <w:t>[Segundo resultado observable]</w:t>
      </w:r>
    </w:p>
    <w:p>
      <w:pPr>
        <w:pStyle w:val="ListBullet"/>
      </w:pPr>
      <w:r>
        <w:rPr>
          <w:rFonts w:ascii="Noto Sans" w:hAnsi="Noto Sans" w:eastAsia="Noto Sans" w:cs="Noto Sans"/>
        </w:rPr>
        <w:t>[Qué queda fuera del alcance]</w:t>
      </w:r>
    </w:p>
    <w:p>
      <w:pPr>
        <w:shd w:fill="EAF4FA"/>
        <w:spacing w:before="160" w:after="160"/>
      </w:pPr>
      <w:r>
        <w:rPr>
          <w:rFonts w:ascii="Noto Sans" w:hAnsi="Noto Sans" w:eastAsia="Noto Sans" w:cs="Noto Sans"/>
          <w:sz w:val="19"/>
        </w:rPr>
        <w:t>El paquete básico incluye recomendación breve, kit de comunicación e informe breve de grupo, además de guía y materiales de práctica descargables y versionados para uso interno. El destinatario autorizado y la fecha del informe de grupo se acuerdan por edición.</w:t>
      </w:r>
    </w:p>
    <w:p>
      <w:r>
        <w:br w:type="page"/>
      </w:r>
    </w:p>
    <w:p>
      <w:pPr>
        <w:pStyle w:val="Heading1"/>
      </w:pPr>
      <w:r>
        <w:rPr>
          <w:rFonts w:ascii="Noto Sans" w:hAnsi="Noto Sans" w:eastAsia="Noto Sans" w:cs="Noto Sans"/>
          <w:b/>
          <w:color w:val="000000"/>
          <w:sz w:val="36"/>
        </w:rPr>
        <w:t>Dedicación y decisión</w:t>
      </w:r>
    </w:p>
    <w:p>
      <w:pPr>
        <w:pStyle w:val="Heading2"/>
      </w:pPr>
      <w:r>
        <w:rPr>
          <w:rFonts w:ascii="Noto Sans" w:hAnsi="Noto Sans" w:eastAsia="Noto Sans" w:cs="Noto Sans"/>
          <w:b/>
          <w:color w:val="000000"/>
          <w:sz w:val="24"/>
        </w:rPr>
        <w:t>Dedicación y preparación</w:t>
      </w:r>
    </w:p>
    <w:p>
      <w:r>
        <w:rPr>
          <w:rFonts w:ascii="Noto Sans" w:hAnsi="Noto Sans" w:eastAsia="Noto Sans" w:cs="Noto Sans"/>
        </w:rPr>
        <w:t>[Número de participantes × horas en directo = horas de participación. Preparación: responsables TOF, docente y cliente; fecha y prueba de acceso por acordar.]</w:t>
      </w:r>
    </w:p>
    <w:p>
      <w:r>
        <w:rPr>
          <w:rFonts w:ascii="Noto Sans" w:hAnsi="Noto Sans" w:eastAsia="Noto Sans" w:cs="Noto Sans"/>
        </w:rPr>
        <w:t>TOF prepara las instrucciones y el checklist; el docente comprueba la práctica y su alternativa ante bloqueos; la persona responsable del cliente coordina participantes y prueba cuentas y permisos. Se acuerdan la fecha, la prueba de acceso y quién registra y resuelve cada bloqueo por edición. Las necesidades funcionales se comunican por el canal privado acordado, sin pedir diagnósticos. Los apoyos específicos se confirman antes de la edición.</w:t>
      </w:r>
    </w:p>
    <w:p>
      <w:pPr>
        <w:pStyle w:val="Heading2"/>
      </w:pPr>
      <w:r>
        <w:rPr>
          <w:rFonts w:ascii="Noto Sans" w:hAnsi="Noto Sans" w:eastAsia="Noto Sans" w:cs="Noto Sans"/>
          <w:b/>
          <w:color w:val="000000"/>
          <w:sz w:val="24"/>
        </w:rPr>
        <w:t>Coste y condiciones por confirmar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81"/>
        <w:gridCol w:w="7143"/>
      </w:tblGrid>
      <w:tr>
        <w:trPr>
          <w:tblHeader/>
          <w:cantSplit/>
        </w:trPr>
        <w:tc>
          <w:tcPr>
            <w:tcW w:type="dxa" w:w="2381"/>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Dato</w:t>
            </w:r>
          </w:p>
        </w:tc>
        <w:tc>
          <w:tcPr>
            <w:tcW w:type="dxa" w:w="7143"/>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Completar</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Presupuesto</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[Propuesta, impuestos y licencias si proceden]</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Materiales del paquete básico</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[Inventario, versión y fecha del enlace de TOF; copia interna del cliente]</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FUNDAE</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FUNDAE: gestión externa aún por concretar. TOF aporta documentación administrativa de la formación; no tramita la bonificación ni garantiza su aplicación.</w:t>
            </w:r>
          </w:p>
        </w:tc>
      </w:tr>
    </w:tbl>
    <w:p>
      <w:pPr>
        <w:spacing w:after="20" w:before="0" w:line="96" w:lineRule="auto"/>
      </w:pPr>
    </w:p>
    <w:p>
      <w:pPr>
        <w:pStyle w:val="Heading2"/>
      </w:pPr>
      <w:r>
        <w:rPr>
          <w:rFonts w:ascii="Noto Sans" w:hAnsi="Noto Sans" w:eastAsia="Noto Sans" w:cs="Noto Sans"/>
          <w:b/>
          <w:color w:val="000000"/>
          <w:sz w:val="24"/>
        </w:rPr>
        <w:t>Cómo comprobaremos el aprendizaje</w:t>
      </w:r>
    </w:p>
    <w:p>
      <w:r>
        <w:rPr>
          <w:rFonts w:ascii="Noto Sans" w:hAnsi="Noto Sans" w:eastAsia="Noto Sans" w:cs="Noto Sans"/>
        </w:rPr>
        <w:t>[Tarea inicial y final comparables, evidencia individual, responsable de revisión y criterio. Distingue una capacidad observada en aula de un resultado de negocio posterior.]</w:t>
      </w:r>
    </w:p>
    <w:p>
      <w:pPr>
        <w:pStyle w:val="Heading2"/>
      </w:pPr>
      <w:r>
        <w:rPr>
          <w:rFonts w:ascii="Noto Sans" w:hAnsi="Noto Sans" w:eastAsia="Noto Sans" w:cs="Noto Sans"/>
          <w:b/>
          <w:color w:val="000000"/>
          <w:sz w:val="24"/>
        </w:rPr>
        <w:t>Decisión solicitada</w:t>
      </w:r>
    </w:p>
    <w:p>
      <w:r>
        <w:rPr>
          <w:rFonts w:ascii="Noto Sans" w:hAnsi="Noto Sans" w:eastAsia="Noto Sans" w:cs="Noto Sans"/>
        </w:rPr>
        <w:t>[Aprobar / pedir ajustes / posponer. Responsable, fecha y condiciones que deben cerrarse antes de reservar.]</w:t>
      </w:r>
    </w:p>
    <w:p>
      <w:pPr>
        <w:shd w:fill="EAF4FA"/>
        <w:spacing w:before="160" w:after="160"/>
      </w:pPr>
      <w:r>
        <w:rPr>
          <w:rFonts w:ascii="Noto Sans" w:hAnsi="Noto Sans" w:eastAsia="Noto Sans" w:cs="Noto Sans"/>
          <w:sz w:val="19"/>
        </w:rPr>
        <w:t>El cliente puede conservar su copia de los materiales para uso interno. La propuesta concreta inventario, versión y fecha hasta la que estará disponible el enlace de TOF por edición. No se promete acceso indefinido al enlace ni futuras actualizaciones. Las grabaciones requieren acuerdo previo. Un mes natural de soporte por correo tras la última sesión, sobre el contenido impartido: hasta dos horas acumuladas para el conjunto del grupo, con respuesta en un máximo de dos días laborables.</w:t>
      </w:r>
    </w:p>
    <w:sectPr w:rsidR="00FC693F" w:rsidRPr="0006063C" w:rsidSect="00034616">
      <w:headerReference w:type="default" r:id="rId9"/>
      <w:footerReference w:type="default" r:id="rId10"/>
      <w:pgSz w:w="11906" w:h="16838"/>
      <w:pgMar w:top="935" w:right="1191" w:bottom="907" w:left="1191" w:header="340" w:footer="369" w:gutter="0"/>
      <w:cols w:space="720"/>
      <w:docGrid w:linePitch="360"/>
    </w:sectPr>
  </w:body>
</w:document>
</file>

<file path=word/fontTable.xml><?xml version="1.0" encoding="utf-8"?>
<ns0:fonts xmlns:ns0="http://schemas.openxmlformats.org/wordprocessingml/2006/main" xmlns:ns1="http://schemas.openxmlformats.org/markup-compatibility/2006" ns1:Ignorable="w14">
  <ns0:font ns0:name="Symbol">
    <ns0:panose1 ns0:val="00000000000000000000"/>
    <ns0:charset ns0:val="02"/>
    <ns0:family ns0:val="auto"/>
    <ns0:pitch ns0:val="variable"/>
    <ns0:sig ns0:usb0="00000000" ns0:usb1="10000000" ns0:usb2="00000000" ns0:usb3="00000000" ns0:csb0="80000000" ns0:csb1="00000000"/>
  </ns0:font>
  <ns0:font ns0:name="Times New Roman">
    <ns0:panose1 ns0:val="02020603050405020304"/>
    <ns0:charset ns0:val="00"/>
    <ns0:family ns0:val="auto"/>
    <ns0:pitch ns0:val="variable"/>
    <ns0:sig ns0:usb0="E0002AFF" ns0:usb1="C0007841" ns0:usb2="00000009" ns0:usb3="00000000" ns0:csb0="000001FF" ns0:csb1="00000000"/>
  </ns0:font>
  <ns0:font ns0:name="Cambria">
    <ns0:panose1 ns0:val="02040503050406030204"/>
    <ns0:charset ns0:val="00"/>
    <ns0:family ns0:val="auto"/>
    <ns0:pitch ns0:val="variable"/>
    <ns0:sig ns0:usb0="E00002FF" ns0:usb1="400004FF" ns0:usb2="00000000" ns0:usb3="00000000" ns0:csb0="0000019F" ns0:csb1="00000000"/>
  </ns0:font>
  <ns0:font ns0:name="ＭＳ 明朝">
    <ns0:panose1 ns0:val="00000000000000000000"/>
    <ns0:charset ns0:val="80"/>
    <ns0:family ns0:val="roman"/>
    <ns0:notTrueType/>
    <ns0:pitch ns0:val="fixed"/>
    <ns0:sig ns0:usb0="00000001" ns0:usb1="08070000" ns0:usb2="00000010" ns0:usb3="00000000" ns0:csb0="00020000" ns0:csb1="00000000"/>
  </ns0:font>
  <ns0:font ns0:name="Calibri">
    <ns0:panose1 ns0:val="020F0502020204030204"/>
    <ns0:charset ns0:val="00"/>
    <ns0:family ns0:val="auto"/>
    <ns0:pitch ns0:val="variable"/>
    <ns0:sig ns0:usb0="E10002FF" ns0:usb1="4000ACFF" ns0:usb2="00000009" ns0:usb3="00000000" ns0:csb0="0000019F" ns0:csb1="00000000"/>
  </ns0:font>
  <ns0:font ns0:name="ＭＳ ゴシック">
    <ns0:panose1 ns0:val="00000000000000000000"/>
    <ns0:charset ns0:val="80"/>
    <ns0:family ns0:val="modern"/>
    <ns0:notTrueType/>
    <ns0:pitch ns0:val="fixed"/>
    <ns0:sig ns0:usb0="00000001" ns0:usb1="08070000" ns0:usb2="00000010" ns0:usb3="00000000" ns0:csb0="00020000" ns0:csb1="00000000"/>
  </ns0:font>
  <ns0:font ns0:name="Courier">
    <ns0:panose1 ns0:val="02000500000000000000"/>
    <ns0:charset ns0:val="00"/>
    <ns0:family ns0:val="auto"/>
    <ns0:pitch ns0:val="variable"/>
    <ns0:sig ns0:usb0="00000003" ns0:usb1="00000000" ns0:usb2="00000000" ns0:usb3="00000000" ns0:csb0="00000001" ns0:csb1="00000000"/>
  </ns0:font>
  <ns0:font ns0:name="Arial">
    <ns0:panose1 ns0:val="020B0604020202020204"/>
    <ns0:charset ns0:val="00"/>
    <ns0:family ns0:val="auto"/>
    <ns0:pitch ns0:val="variable"/>
    <ns0:sig ns0:usb0="E0002AFF" ns0:usb1="C0007843" ns0:usb2="00000009" ns0:usb3="00000000" ns0:csb0="000001FF" ns0:csb1="00000000"/>
  </ns0:font>
  <ns0:font ns0:name="Noto Sans">
    <ns0:altName ns0:val="Noto Sans"/>
    <ns0:family ns0:val="swiss"/>
    <ns0:pitch ns0:val="variable"/>
    <ns0:charset ns0:val="00"/>
    <ns0:panose1 ns0:val="020B0504020202020204"/>
  </ns0:font>
</ns0: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Noto Sans" w:hAnsi="Noto Sans" w:eastAsia="Noto Sans" w:cs="Noto Sans"/>
        <w:b w:val="0"/>
        <w:color w:val="5C7180"/>
        <w:sz w:val="16"/>
      </w:rPr>
      <w:t xml:space="preserve">TOF Learn · BS08 · v2 · </w:t>
    </w:r>
    <w:fldSimple w:instr="PAGE">
      <w:r>
        <w:t>1</w:t>
      </w:r>
    </w:fldSimple>
    <w:r>
      <w:rPr>
        <w:rFonts w:ascii="Noto Sans" w:hAnsi="Noto Sans" w:eastAsia="Noto Sans" w:cs="Noto Sans"/>
        <w:b w:val="0"/>
        <w:color w:val="5C7180"/>
        <w:sz w:val="16"/>
      </w:rPr>
      <w:t xml:space="preserve"> /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524" w:val="right"/>
      </w:tabs>
    </w:pPr>
    <w:r>
      <w:rPr>
        <w:rFonts w:ascii="Noto Sans" w:hAnsi="Noto Sans" w:eastAsia="Noto Sans" w:cs="Noto Sans"/>
        <w:b/>
        <w:color w:val="000000"/>
        <w:sz w:val="18"/>
      </w:rPr>
      <w:t>The Optimal Flow  /  learn</w:t>
    </w:r>
    <w:r>
      <w:rPr>
        <w:rFonts w:ascii="Noto Sans" w:hAnsi="Noto Sans" w:eastAsia="Noto Sans" w:cs="Noto Sans"/>
        <w:b w:val="0"/>
        <w:color w:val="5C7180"/>
        <w:sz w:val="16"/>
      </w:rPr>
      <w:tab/>
      <w:t>PLANTILLA EDITABLE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es-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1" w:lineRule="auto"/>
    </w:pPr>
    <w:rPr>
      <w:rFonts w:ascii="Noto Sans" w:hAnsi="Noto Sans"/>
      <w:color w:val="183746"/>
      <w:sz w:val="22"/>
      <w:lang w:val="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Noto Sans" w:hAnsi="Noto Sa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Noto Sans" w:hAnsi="Noto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spacing w:after="120" w:line="240" w:lineRule="auto" w:before="80"/>
      <w:contextualSpacing/>
    </w:pPr>
    <w:rPr>
      <w:rFonts w:ascii="Noto Sans" w:hAnsi="Noto Sans"/>
      <w:b/>
      <w:color w:val="000000"/>
      <w:spacing w:val="5"/>
      <w:kern w:val="28"/>
      <w:sz w:val="48"/>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interna de formación</dc:title>
  <dc:subject>TOF Learn · BS08</dc:subject>
  <dc:creator>The Optimal Flow</dc:creator>
  <cp:keywords>Learn, editable, plantilla, template, es</cp:keywords>
  <dc:description>generated by python-docx</dc:description>
  <cp:lastModifiedBy/>
  <cp:revision>1</cp:revision>
  <dcterms:created xsi:type="dcterms:W3CDTF">2026-10-13T00:00:00Z</dcterms:created>
  <dcterms:modified xsi:type="dcterms:W3CDTF">2013-12-23T23:15:00Z</dcterms:modified>
  <cp:category/>
</cp:coreProperties>
</file>