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w:hAnsi="Noto Sans" w:eastAsia="Noto Sans" w:cs="Noto Sans"/>
          <w:b/>
          <w:color w:val="000000"/>
          <w:sz w:val="48"/>
        </w:rPr>
        <w:t>Informe de aprendizaje</w:t>
      </w:r>
    </w:p>
    <w:p>
      <w:pPr>
        <w:spacing w:after="240"/>
      </w:pPr>
      <w:r>
        <w:rPr>
          <w:rFonts w:ascii="Noto Sans" w:hAnsi="Noto Sans" w:eastAsia="Noto Sans" w:cs="Noto Sans"/>
          <w:b w:val="0"/>
          <w:color w:val="5C7180"/>
          <w:sz w:val="20"/>
        </w:rPr>
        <w:t>Ejemplo cumplimentado para revisar el formato</w:t>
      </w:r>
    </w:p>
    <w:p>
      <w:r>
        <w:rPr>
          <w:rFonts w:ascii="Noto Sans" w:hAnsi="Noto Sans" w:eastAsia="Noto Sans" w:cs="Noto Sans"/>
        </w:rPr>
        <w:t>Esta muestra enseña el informe breve de grupo incluido en Trabajo en equipo en Notion. Los seis participantes y todos los resultados son ficticios. Sirve para revisar el formato; el destinatario autorizado y la fecha de entrega se acuerdan por edición.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Dato</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Completar</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Programa</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Trabajo en equipo en Notion</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Edición simulada</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19, 20, 23 y 24 de noviembre de 2026 · 8 h · 4 × 2 h</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Docente previsto</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Guillermo Mascaraque Piña</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Destinatario de ejemplo</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Responsable de formación de operaciones</w:t>
            </w:r>
          </w:p>
        </w:tc>
      </w:tr>
    </w:tbl>
    <w:p>
      <w:pPr>
        <w:spacing w:after="20" w:before="0" w:line="96" w:lineRule="auto"/>
      </w:pPr>
    </w:p>
    <w:p>
      <w:pPr>
        <w:pStyle w:val="Heading2"/>
      </w:pPr>
      <w:r>
        <w:rPr>
          <w:rFonts w:ascii="Noto Sans" w:hAnsi="Noto Sans" w:eastAsia="Noto Sans" w:cs="Noto Sans"/>
          <w:b/>
          <w:color w:val="000000"/>
          <w:sz w:val="24"/>
        </w:rPr>
        <w:t>Qué se comparó en la simulación</w:t>
      </w:r>
    </w:p>
    <w:p>
      <w:r>
        <w:rPr>
          <w:rFonts w:ascii="Noto Sans" w:hAnsi="Noto Sans" w:eastAsia="Noto Sans" w:cs="Noto Sans"/>
        </w:rPr>
        <w:t>Al inicio, la tarea «Revisar página» no tenía responsable ni enlace al briefing. Al final se pidió entregar la revisión de textos con estado, responsable, documentación y siguiente paso comprobables por otra persona. La práctica se realizó en el tiempo de las sesiones de ejemplo.</w:t>
      </w:r>
    </w:p>
    <w:p>
      <w:pPr>
        <w:pStyle w:val="Heading2"/>
      </w:pPr>
      <w:r>
        <w:rPr>
          <w:rFonts w:ascii="Noto Sans" w:hAnsi="Noto Sans" w:eastAsia="Noto Sans" w:cs="Noto Sans"/>
          <w:b/>
          <w:color w:val="000000"/>
          <w:sz w:val="24"/>
        </w:rPr>
        <w:t>Observaciones de grupo ficticias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6406"/>
      </w:tblGrid>
      <w:tr>
        <w:trPr>
          <w:tblHeader/>
          <w:cantSplit/>
        </w:trPr>
        <w:tc>
          <w:tcPr>
            <w:tcW w:type="dxa" w:w="3118"/>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Capacidad</w:t>
            </w:r>
          </w:p>
        </w:tc>
        <w:tc>
          <w:tcPr>
            <w:tcW w:type="dxa" w:w="6406"/>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Observación simulada</w:t>
            </w:r>
          </w:p>
        </w:tc>
      </w:tr>
      <w:tr>
        <w:trPr>
          <w:cantSplit/>
        </w:trPr>
        <w:tc>
          <w:tcPr>
            <w:tcW w:type="dxa" w:w="3118"/>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Completar la tarea</w:t>
            </w:r>
          </w:p>
        </w:tc>
        <w:tc>
          <w:tcPr>
            <w:tcW w:type="dxa" w:w="6406"/>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6 de 6 enlazaron el briefing y asignaron responsable</w:t>
            </w:r>
          </w:p>
        </w:tc>
      </w:tr>
      <w:tr>
        <w:trPr>
          <w:cantSplit/>
        </w:trPr>
        <w:tc>
          <w:tcPr>
            <w:tcW w:type="dxa" w:w="3118"/>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Comprobar el relevo</w:t>
            </w:r>
          </w:p>
        </w:tc>
        <w:tc>
          <w:tcPr>
            <w:tcW w:type="dxa" w:w="6406"/>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4 de 6 comprobaron acceso y siguiente paso sin ayuda final</w:t>
            </w:r>
          </w:p>
        </w:tc>
      </w:tr>
      <w:tr>
        <w:trPr>
          <w:cantSplit/>
        </w:trPr>
        <w:tc>
          <w:tcPr>
            <w:tcW w:type="dxa" w:w="3118"/>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Resultado de revisión</w:t>
            </w:r>
          </w:p>
        </w:tc>
        <w:tc>
          <w:tcPr>
            <w:tcW w:type="dxa" w:w="6406"/>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4 aptos · 2 por revisar; no hay evaluación de productividad</w:t>
            </w:r>
          </w:p>
        </w:tc>
      </w:tr>
    </w:tbl>
    <w:p>
      <w:pPr>
        <w:spacing w:after="20" w:before="0" w:line="96" w:lineRule="auto"/>
      </w:pPr>
    </w:p>
    <w:p>
      <w:pPr>
        <w:shd w:fill="EAF4FA"/>
        <w:spacing w:before="160" w:after="160"/>
      </w:pPr>
      <w:r>
        <w:rPr>
          <w:rFonts w:ascii="Noto Sans" w:hAnsi="Noto Sans" w:eastAsia="Noto Sans" w:cs="Noto Sans"/>
          <w:sz w:val="19"/>
        </w:rPr>
        <w:t>El paquete básico incluye recomendación breve, kit de comunicación e informe breve de grupo, además de guía y materiales de práctica descargables y versionados para uso interno. El destinatario autorizado y la fecha del informe de grupo se acuerdan por edición.</w:t>
      </w:r>
    </w:p>
    <w:p>
      <w:r>
        <w:br w:type="page"/>
      </w:r>
    </w:p>
    <w:p>
      <w:pPr>
        <w:pStyle w:val="Heading1"/>
      </w:pPr>
      <w:r>
        <w:rPr>
          <w:rFonts w:ascii="Noto Sans" w:hAnsi="Noto Sans" w:eastAsia="Noto Sans" w:cs="Noto Sans"/>
          <w:b/>
          <w:color w:val="000000"/>
          <w:sz w:val="36"/>
        </w:rPr>
        <w:t>Criterios y próximos pasos</w:t>
      </w:r>
    </w:p>
    <w:p>
      <w:pPr>
        <w:pStyle w:val="Heading2"/>
      </w:pPr>
      <w:r>
        <w:rPr>
          <w:rFonts w:ascii="Noto Sans" w:hAnsi="Noto Sans" w:eastAsia="Noto Sans" w:cs="Noto Sans"/>
          <w:b/>
          <w:color w:val="000000"/>
          <w:sz w:val="24"/>
        </w:rPr>
        <w:t>Rúbrica utilizada en la muestra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05"/>
        <w:gridCol w:w="6520"/>
      </w:tblGrid>
      <w:tr>
        <w:trPr>
          <w:tblHeader/>
          <w:cantSplit/>
        </w:trPr>
        <w:tc>
          <w:tcPr>
            <w:tcW w:type="dxa" w:w="3005"/>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Criterio</w:t>
            </w:r>
          </w:p>
        </w:tc>
        <w:tc>
          <w:tcPr>
            <w:tcW w:type="dxa" w:w="6520"/>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Qué observar</w:t>
            </w:r>
          </w:p>
        </w:tc>
      </w:tr>
      <w:tr>
        <w:trPr>
          <w:cantSplit/>
        </w:trPr>
        <w:tc>
          <w:tcPr>
            <w:tcW w:type="dxa" w:w="3005"/>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Completa la tarea</w:t>
            </w:r>
          </w:p>
        </w:tc>
        <w:tc>
          <w:tcPr>
            <w:tcW w:type="dxa" w:w="6520"/>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Realiza el encargo acordado y deja una entrega que puede continuar otra persona.</w:t>
            </w:r>
          </w:p>
        </w:tc>
      </w:tr>
      <w:tr>
        <w:trPr>
          <w:cantSplit/>
        </w:trPr>
        <w:tc>
          <w:tcPr>
            <w:tcW w:type="dxa" w:w="3005"/>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Comprueba el resultado</w:t>
            </w:r>
          </w:p>
        </w:tc>
        <w:tc>
          <w:tcPr>
            <w:tcW w:type="dxa" w:w="6520"/>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Contrasta con la fuente y prueba los puntos críticos del caso; identifica lo pendiente.</w:t>
            </w:r>
          </w:p>
        </w:tc>
      </w:tr>
      <w:tr>
        <w:trPr>
          <w:cantSplit/>
        </w:trPr>
        <w:tc>
          <w:tcPr>
            <w:tcW w:type="dxa" w:w="3005"/>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Explica decisiones y límites</w:t>
            </w:r>
          </w:p>
        </w:tc>
        <w:tc>
          <w:tcPr>
            <w:tcW w:type="dxa" w:w="6520"/>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Justifica lo realizado, reconoce ayuda y límites y sabe cuándo pedir revisión.</w:t>
            </w:r>
          </w:p>
        </w:tc>
      </w:tr>
    </w:tbl>
    <w:p>
      <w:pPr>
        <w:spacing w:after="20" w:before="0" w:line="96" w:lineRule="auto"/>
      </w:pPr>
    </w:p>
    <w:p>
      <w:pPr>
        <w:pStyle w:val="Heading2"/>
      </w:pPr>
      <w:r>
        <w:rPr>
          <w:rFonts w:ascii="Noto Sans" w:hAnsi="Noto Sans" w:eastAsia="Noto Sans" w:cs="Noto Sans"/>
          <w:b/>
          <w:color w:val="000000"/>
          <w:sz w:val="24"/>
        </w:rPr>
        <w:t>Dificultad y próximo paso</w:t>
      </w:r>
    </w:p>
    <w:p>
      <w:r>
        <w:rPr>
          <w:rFonts w:ascii="Noto Sans" w:hAnsi="Noto Sans" w:eastAsia="Noto Sans" w:cs="Noto Sans"/>
        </w:rPr>
        <w:t>Dos participantes ficticios mencionaron a la persona revisora sin comprobar su acceso al briefing. La próxima tarea recomendada es verificar acceso y siguiente acción con un compañero de aula. Un mes natural de soporte por correo tras la última sesión, sobre el contenido impartido: hasta dos horas acumuladas para el conjunto del grupo, con respuesta en un máximo de dos días laborables.</w:t>
      </w:r>
    </w:p>
    <w:p>
      <w:pPr>
        <w:pStyle w:val="Heading2"/>
      </w:pPr>
      <w:r>
        <w:rPr>
          <w:rFonts w:ascii="Noto Sans" w:hAnsi="Noto Sans" w:eastAsia="Noto Sans" w:cs="Noto Sans"/>
          <w:b/>
          <w:color w:val="000000"/>
          <w:sz w:val="24"/>
        </w:rPr>
        <w:t>Qué no demuestran estos datos</w:t>
      </w:r>
    </w:p>
    <w:p>
      <w:r>
        <w:rPr>
          <w:rFonts w:ascii="Noto Sans" w:hAnsi="Noto Sans" w:eastAsia="Noto Sans" w:cs="Noto Sans"/>
        </w:rPr>
        <w:t>Los recuentos ilustran capacidades observadas en un caso de aula ficticio. No acreditan uso posterior, ahorro de tiempo, rendimiento laboral, impacto comercial ni satisfacción de un cliente. No se ha emitido ningún diploma a partir de esta muestra.</w:t>
      </w:r>
    </w:p>
    <w:p>
      <w:pPr>
        <w:pStyle w:val="Heading2"/>
      </w:pPr>
      <w:r>
        <w:rPr>
          <w:rFonts w:ascii="Noto Sans" w:hAnsi="Noto Sans" w:eastAsia="Noto Sans" w:cs="Noto Sans"/>
          <w:b/>
          <w:color w:val="000000"/>
          <w:sz w:val="24"/>
        </w:rPr>
        <w:t>Información compartida</w:t>
      </w:r>
    </w:p>
    <w:p>
      <w:r>
        <w:rPr>
          <w:rFonts w:ascii="Noto Sans" w:hAnsi="Noto Sans" w:eastAsia="Noto Sans" w:cs="Noto Sans"/>
        </w:rPr>
        <w:t>El informe breve de grupo está incluido. Se acuerdan destinatarios autorizados y fecha de entrega; resume capacidades y dificultades observadas en aula, sin rankings ni evaluación del rendimiento laboral. El cliente puede conservar su copia de los materiales para uso interno. La propuesta concreta inventario, versión y fecha hasta la que estará disponible el enlace de TOF por edición. No se promete acceso indefinido al enlace ni futuras actualizaciones. Las grabaciones requieren acuerdo previo.</w:t>
      </w:r>
    </w:p>
    <w:p>
      <w:hyperlink r:id="rId11">
        <w:r>
          <w:rPr>
            <w:color w:val="3531D4"/>
            <w:rFonts w:ascii="Noto Sans" w:hAnsi="Noto Sans"/>
            <w:sz w:val="18"/>
          </w:rPr>
          <w:t>Ficha de Trabajo en equipo en Notion</w:t>
        </w:r>
      </w:hyperlink>
    </w:p>
    <w:p>
      <w:r>
        <w:br w:type="page"/>
      </w:r>
    </w:p>
    <w:p>
      <w:pPr>
        <w:pStyle w:val="Heading1"/>
      </w:pPr>
      <w:r>
        <w:rPr>
          <w:rFonts w:ascii="Noto Sans" w:hAnsi="Noto Sans" w:eastAsia="Noto Sans" w:cs="Noto Sans"/>
          <w:b/>
          <w:color w:val="000000"/>
          <w:sz w:val="36"/>
        </w:rPr>
        <w:t>Registro individual de ejemplo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Dato</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Completar</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Identificador</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P05 · participante ficticio</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Objetivo</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Dejar una revisión de textos que otra persona pueda continuar</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Evidencia inicial</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Tarea sin responsable y sin briefing enlazado</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Evidencia final</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Briefing enlazado, Marina asignada, estado pendiente de revisión</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Ayuda recibida</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Recordatorio para comprobar si Marina puede abrir el briefing</w:t>
            </w:r>
          </w:p>
        </w:tc>
      </w:tr>
    </w:tbl>
    <w:p>
      <w:pPr>
        <w:spacing w:after="20" w:before="0" w:line="96" w:lineRule="auto"/>
      </w:pP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21"/>
        <w:gridCol w:w="4819"/>
        <w:gridCol w:w="1984"/>
      </w:tblGrid>
      <w:tr>
        <w:trPr>
          <w:tblHeader/>
          <w:cantSplit/>
        </w:trPr>
        <w:tc>
          <w:tcPr>
            <w:tcW w:type="dxa" w:w="272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Criterio</w:t>
            </w:r>
          </w:p>
        </w:tc>
        <w:tc>
          <w:tcPr>
            <w:tcW w:type="dxa" w:w="4819"/>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Observación</w:t>
            </w:r>
          </w:p>
        </w:tc>
        <w:tc>
          <w:tcPr>
            <w:tcW w:type="dxa" w:w="1984"/>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Estado</w:t>
            </w:r>
          </w:p>
        </w:tc>
      </w:tr>
      <w:tr>
        <w:trPr>
          <w:cantSplit/>
        </w:trPr>
        <w:tc>
          <w:tcPr>
            <w:tcW w:type="dxa" w:w="272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Completa la tarea</w:t>
            </w:r>
          </w:p>
        </w:tc>
        <w:tc>
          <w:tcPr>
            <w:tcW w:type="dxa" w:w="4819"/>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Propiedades y contexto reflejan lo pendiente</w:t>
            </w:r>
          </w:p>
        </w:tc>
        <w:tc>
          <w:tcPr>
            <w:tcW w:type="dxa" w:w="1984"/>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Apto</w:t>
            </w:r>
          </w:p>
        </w:tc>
      </w:tr>
      <w:tr>
        <w:trPr>
          <w:cantSplit/>
        </w:trPr>
        <w:tc>
          <w:tcPr>
            <w:tcW w:type="dxa" w:w="272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Comprueba el resultado</w:t>
            </w:r>
          </w:p>
        </w:tc>
        <w:tc>
          <w:tcPr>
            <w:tcW w:type="dxa" w:w="4819"/>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No verificó acceso hasta recibir un recordatorio</w:t>
            </w:r>
          </w:p>
        </w:tc>
        <w:tc>
          <w:tcPr>
            <w:tcW w:type="dxa" w:w="1984"/>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Por revisar</w:t>
            </w:r>
          </w:p>
        </w:tc>
      </w:tr>
      <w:tr>
        <w:trPr>
          <w:cantSplit/>
        </w:trPr>
        <w:tc>
          <w:tcPr>
            <w:tcW w:type="dxa" w:w="272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Explica decisiones y límites</w:t>
            </w:r>
          </w:p>
        </w:tc>
        <w:tc>
          <w:tcPr>
            <w:tcW w:type="dxa" w:w="4819"/>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Explica por qué una mención no concede permisos</w:t>
            </w:r>
          </w:p>
        </w:tc>
        <w:tc>
          <w:tcPr>
            <w:tcW w:type="dxa" w:w="1984"/>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Apto</w:t>
            </w:r>
          </w:p>
        </w:tc>
      </w:tr>
    </w:tbl>
    <w:p>
      <w:pPr>
        <w:spacing w:after="20" w:before="0" w:line="96" w:lineRule="auto"/>
      </w:pPr>
    </w:p>
    <w:p>
      <w:pPr>
        <w:pStyle w:val="Heading2"/>
      </w:pPr>
      <w:r>
        <w:rPr>
          <w:rFonts w:ascii="Noto Sans" w:hAnsi="Noto Sans" w:eastAsia="Noto Sans" w:cs="Noto Sans"/>
          <w:b/>
          <w:color w:val="000000"/>
          <w:sz w:val="24"/>
        </w:rPr>
        <w:t>Decisión ilustrativa</w:t>
      </w:r>
    </w:p>
    <w:p>
      <w:r>
        <w:rPr>
          <w:rFonts w:ascii="Noto Sans" w:hAnsi="Noto Sans" w:eastAsia="Noto Sans" w:cs="Noto Sans"/>
        </w:rPr>
        <w:t>Por revisar. Debe repetir la comprobación de acceso y siguiente paso sin el recordatorio del docente. La revisión de evidencias se registra con el criterio acordado; no hay sesiones adicionales confirmadas en esta muestra.</w:t>
      </w:r>
    </w:p>
    <w:sectPr w:rsidR="00FC693F" w:rsidRPr="0006063C" w:rsidSect="00034616">
      <w:headerReference w:type="default" r:id="rId9"/>
      <w:footerReference w:type="default" r:id="rId10"/>
      <w:pgSz w:w="11906" w:h="16838"/>
      <w:pgMar w:top="935" w:right="1191" w:bottom="907" w:left="1191" w:header="340" w:footer="369" w:gutter="0"/>
      <w:cols w:space="720"/>
      <w:docGrid w:linePitch="360"/>
    </w:sectPr>
  </w:body>
</w:document>
</file>

<file path=word/fontTable.xml><?xml version="1.0" encoding="utf-8"?>
<ns0:fonts xmlns:ns0="http://schemas.openxmlformats.org/wordprocessingml/2006/main" xmlns:ns1="http://schemas.openxmlformats.org/markup-compatibility/2006" ns1:Ignorable="w14">
  <ns0:font ns0:name="Symbol">
    <ns0:panose1 ns0:val="00000000000000000000"/>
    <ns0:charset ns0:val="02"/>
    <ns0:family ns0:val="auto"/>
    <ns0:pitch ns0:val="variable"/>
    <ns0:sig ns0:usb0="00000000" ns0:usb1="10000000" ns0:usb2="00000000" ns0:usb3="00000000" ns0:csb0="80000000" ns0:csb1="00000000"/>
  </ns0:font>
  <ns0:font ns0:name="Times New Roman">
    <ns0:panose1 ns0:val="02020603050405020304"/>
    <ns0:charset ns0:val="00"/>
    <ns0:family ns0:val="auto"/>
    <ns0:pitch ns0:val="variable"/>
    <ns0:sig ns0:usb0="E0002AFF" ns0:usb1="C0007841" ns0:usb2="00000009" ns0:usb3="00000000" ns0:csb0="000001FF" ns0:csb1="00000000"/>
  </ns0:font>
  <ns0:font ns0:name="Cambria">
    <ns0:panose1 ns0:val="02040503050406030204"/>
    <ns0:charset ns0:val="00"/>
    <ns0:family ns0:val="auto"/>
    <ns0:pitch ns0:val="variable"/>
    <ns0:sig ns0:usb0="E00002FF" ns0:usb1="400004FF" ns0:usb2="00000000" ns0:usb3="00000000" ns0:csb0="0000019F" ns0:csb1="00000000"/>
  </ns0:font>
  <ns0:font ns0:name="ＭＳ 明朝">
    <ns0:panose1 ns0:val="00000000000000000000"/>
    <ns0:charset ns0:val="80"/>
    <ns0:family ns0:val="roman"/>
    <ns0:notTrueType/>
    <ns0:pitch ns0:val="fixed"/>
    <ns0:sig ns0:usb0="00000001" ns0:usb1="08070000" ns0:usb2="00000010" ns0:usb3="00000000" ns0:csb0="00020000" ns0:csb1="00000000"/>
  </ns0:font>
  <ns0:font ns0:name="Calibri">
    <ns0:panose1 ns0:val="020F0502020204030204"/>
    <ns0:charset ns0:val="00"/>
    <ns0:family ns0:val="auto"/>
    <ns0:pitch ns0:val="variable"/>
    <ns0:sig ns0:usb0="E10002FF" ns0:usb1="4000ACFF" ns0:usb2="00000009" ns0:usb3="00000000" ns0:csb0="0000019F" ns0:csb1="00000000"/>
  </ns0:font>
  <ns0:font ns0:name="ＭＳ ゴシック">
    <ns0:panose1 ns0:val="00000000000000000000"/>
    <ns0:charset ns0:val="80"/>
    <ns0:family ns0:val="modern"/>
    <ns0:notTrueType/>
    <ns0:pitch ns0:val="fixed"/>
    <ns0:sig ns0:usb0="00000001" ns0:usb1="08070000" ns0:usb2="00000010" ns0:usb3="00000000" ns0:csb0="00020000" ns0:csb1="00000000"/>
  </ns0:font>
  <ns0:font ns0:name="Courier">
    <ns0:panose1 ns0:val="02000500000000000000"/>
    <ns0:charset ns0:val="00"/>
    <ns0:family ns0:val="auto"/>
    <ns0:pitch ns0:val="variable"/>
    <ns0:sig ns0:usb0="00000003" ns0:usb1="00000000" ns0:usb2="00000000" ns0:usb3="00000000" ns0:csb0="00000001" ns0:csb1="00000000"/>
  </ns0:font>
  <ns0:font ns0:name="Arial">
    <ns0:panose1 ns0:val="020B0604020202020204"/>
    <ns0:charset ns0:val="00"/>
    <ns0:family ns0:val="auto"/>
    <ns0:pitch ns0:val="variable"/>
    <ns0:sig ns0:usb0="E0002AFF" ns0:usb1="C0007843" ns0:usb2="00000009" ns0:usb3="00000000" ns0:csb0="000001FF" ns0:csb1="00000000"/>
  </ns0:font>
  <ns0:font ns0:name="Noto Sans">
    <ns0:altName ns0:val="Noto Sans"/>
    <ns0:family ns0:val="swiss"/>
    <ns0:pitch ns0:val="variable"/>
    <ns0:charset ns0:val="00"/>
    <ns0:panose1 ns0:val="020B0504020202020204"/>
  </ns0:font>
</ns0: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w:hAnsi="Noto Sans" w:eastAsia="Noto Sans" w:cs="Noto Sans"/>
        <w:b w:val="0"/>
        <w:color w:val="5C7180"/>
        <w:sz w:val="16"/>
      </w:rPr>
      <w:t xml:space="preserve">TOF Learn · AV08 · v2 · </w:t>
    </w:r>
    <w:fldSimple w:instr="PAGE">
      <w:r>
        <w:t>1</w:t>
      </w:r>
    </w:fldSimple>
    <w:r>
      <w:rPr>
        <w:rFonts w:ascii="Noto Sans" w:hAnsi="Noto Sans" w:eastAsia="Noto Sans" w:cs="Noto Sans"/>
        <w:b w:val="0"/>
        <w:color w:val="5C7180"/>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24" w:val="right"/>
      </w:tabs>
    </w:pPr>
    <w:r>
      <w:rPr>
        <w:rFonts w:ascii="Noto Sans" w:hAnsi="Noto Sans" w:eastAsia="Noto Sans" w:cs="Noto Sans"/>
        <w:b/>
        <w:color w:val="000000"/>
        <w:sz w:val="18"/>
      </w:rPr>
      <w:t>The Optimal Flow  /  learn</w:t>
    </w:r>
    <w:r>
      <w:rPr>
        <w:rFonts w:ascii="Noto Sans" w:hAnsi="Noto Sans" w:eastAsia="Noto Sans" w:cs="Noto Sans"/>
        <w:b w:val="0"/>
        <w:color w:val="5C7180"/>
        <w:sz w:val="16"/>
      </w:rPr>
      <w:tab/>
      <w:t>MUESTRA · datos ficticios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s-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Noto Sans" w:hAnsi="Noto Sans"/>
      <w:color w:val="183746"/>
      <w:sz w:val="22"/>
      <w:lang w:val="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Noto Sans" w:hAnsi="Noto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Noto Sans" w:hAnsi="Noto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20" w:line="240" w:lineRule="auto" w:before="80"/>
      <w:contextualSpacing/>
    </w:pPr>
    <w:rPr>
      <w:rFonts w:ascii="Noto Sans" w:hAnsi="Noto Sans"/>
      <w:b/>
      <w:color w:val="000000"/>
      <w:spacing w:val="5"/>
      <w:kern w:val="28"/>
      <w:sz w:val="4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theoptimalflow.com/formacion/cursos/notion-equip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aprendizaje</dc:title>
  <dc:subject>TOF Learn · AV08</dc:subject>
  <dc:creator>The Optimal Flow</dc:creator>
  <cp:keywords>Learn, editable, plantilla, template, es</cp:keywords>
  <dc:description>generated by python-docx</dc:description>
  <cp:lastModifiedBy/>
  <cp:revision>1</cp:revision>
  <dcterms:created xsi:type="dcterms:W3CDTF">2026-10-13T00:00:00Z</dcterms:created>
  <dcterms:modified xsi:type="dcterms:W3CDTF">2013-12-23T23:15:00Z</dcterms:modified>
  <cp:category/>
</cp:coreProperties>
</file>