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Noto Sans" w:hAnsi="Noto Sans" w:eastAsia="Noto Sans" w:cs="Noto Sans"/>
          <w:b/>
          <w:color w:val="000000"/>
          <w:sz w:val="48"/>
        </w:rPr>
        <w:t>Learning report</w:t>
      </w:r>
    </w:p>
    <w:p>
      <w:pPr>
        <w:spacing w:after="240"/>
      </w:pPr>
      <w:r>
        <w:rPr>
          <w:rFonts w:ascii="Noto Sans" w:hAnsi="Noto Sans" w:eastAsia="Noto Sans" w:cs="Noto Sans"/>
          <w:b w:val="0"/>
          <w:color w:val="5C7180"/>
          <w:sz w:val="20"/>
        </w:rPr>
        <w:t>Complete and adapt before use</w:t>
      </w:r>
    </w:p>
    <w:p>
      <w:r>
        <w:rPr>
          <w:rFonts w:ascii="Noto Sans" w:hAnsi="Noto Sans" w:eastAsia="Noto Sans" w:cs="Noto Sans"/>
        </w:rPr>
        <w:t>The brief group report is included. Summarise classroom observations for the company’s training owner. Agree recipients, delivery date and handling of evidence before collecting data. It does not certify business outcomes or assess job performance.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81"/>
        <w:gridCol w:w="7143"/>
      </w:tblGrid>
      <w:tr>
        <w:trPr>
          <w:tblHeader/>
          <w:cantSplit/>
        </w:trPr>
        <w:tc>
          <w:tcPr>
            <w:tcW w:type="dxa" w:w="2381"/>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Field</w:t>
            </w:r>
          </w:p>
        </w:tc>
        <w:tc>
          <w:tcPr>
            <w:tcW w:type="dxa" w:w="7143"/>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Complete</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Programme and edition</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[Title, dates, version and link]</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Report owner</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[Trainer and preparation date]</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Recipient and scope</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[Authorised owner and group report date; individual annex only by agreement]</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Participation</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[Enrolled, completed practice, and absences only where necessary]</w:t>
            </w:r>
          </w:p>
        </w:tc>
      </w:tr>
    </w:tbl>
    <w:p>
      <w:pPr>
        <w:spacing w:after="20" w:before="0" w:line="96" w:lineRule="auto"/>
      </w:pPr>
    </w:p>
    <w:p>
      <w:pPr>
        <w:pStyle w:val="Heading2"/>
      </w:pPr>
      <w:r>
        <w:rPr>
          <w:rFonts w:ascii="Noto Sans" w:hAnsi="Noto Sans" w:eastAsia="Noto Sans" w:cs="Noto Sans"/>
          <w:b/>
          <w:color w:val="000000"/>
          <w:sz w:val="24"/>
        </w:rPr>
        <w:t>Objective and comparison</w:t>
      </w:r>
    </w:p>
    <w:p>
      <w:r>
        <w:rPr>
          <w:rFonts w:ascii="Noto Sans" w:hAnsi="Noto Sans" w:eastAsia="Noto Sans" w:cs="Noto Sans"/>
        </w:rPr>
        <w:t>[Initial and final task for the same objective. Explain changes, assistance received and what was not observed. Link authorised evidence without copying sensitive content.]</w:t>
      </w:r>
    </w:p>
    <w:p>
      <w:pPr>
        <w:pStyle w:val="Heading2"/>
      </w:pPr>
      <w:r>
        <w:rPr>
          <w:rFonts w:ascii="Noto Sans" w:hAnsi="Noto Sans" w:eastAsia="Noto Sans" w:cs="Noto Sans"/>
          <w:b/>
          <w:color w:val="000000"/>
          <w:sz w:val="24"/>
        </w:rPr>
        <w:t>Group summary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402"/>
        <w:gridCol w:w="6123"/>
      </w:tblGrid>
      <w:tr>
        <w:trPr>
          <w:tblHeader/>
          <w:cantSplit/>
        </w:trPr>
        <w:tc>
          <w:tcPr>
            <w:tcW w:type="dxa" w:w="3402"/>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Observation</w:t>
            </w:r>
          </w:p>
        </w:tc>
        <w:tc>
          <w:tcPr>
            <w:tcW w:type="dxa" w:w="6123"/>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Evidence or count</w:t>
            </w:r>
          </w:p>
        </w:tc>
      </w:tr>
      <w:tr>
        <w:trPr>
          <w:cantSplit/>
        </w:trPr>
        <w:tc>
          <w:tcPr>
            <w:tcW w:type="dxa" w:w="3402"/>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[Observed capability]</w:t>
            </w:r>
          </w:p>
        </w:tc>
        <w:tc>
          <w:tcPr>
            <w:tcW w:type="dxa" w:w="612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[Task, sample or count without inferred outcomes]</w:t>
            </w:r>
          </w:p>
        </w:tc>
      </w:tr>
      <w:tr>
        <w:trPr>
          <w:cantSplit/>
        </w:trPr>
        <w:tc>
          <w:tcPr>
            <w:tcW w:type="dxa" w:w="3402"/>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[Common difficulty]</w:t>
            </w:r>
          </w:p>
        </w:tc>
        <w:tc>
          <w:tcPr>
            <w:tcW w:type="dxa" w:w="612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[Context and help needed]</w:t>
            </w:r>
          </w:p>
        </w:tc>
      </w:tr>
      <w:tr>
        <w:trPr>
          <w:cantSplit/>
        </w:trPr>
        <w:tc>
          <w:tcPr>
            <w:tcW w:type="dxa" w:w="3402"/>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[Review limitation]</w:t>
            </w:r>
          </w:p>
        </w:tc>
        <w:tc>
          <w:tcPr>
            <w:tcW w:type="dxa" w:w="612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[What was not checked]</w:t>
            </w:r>
          </w:p>
        </w:tc>
      </w:tr>
    </w:tbl>
    <w:p>
      <w:pPr>
        <w:spacing w:after="20" w:before="0" w:line="96" w:lineRule="auto"/>
      </w:pPr>
    </w:p>
    <w:p>
      <w:pPr>
        <w:shd w:fill="EAF4FA"/>
        <w:spacing w:before="160" w:after="160"/>
      </w:pPr>
      <w:r>
        <w:rPr>
          <w:rFonts w:ascii="Noto Sans" w:hAnsi="Noto Sans" w:eastAsia="Noto Sans" w:cs="Noto Sans"/>
          <w:sz w:val="19"/>
        </w:rPr>
        <w:t>The basic package includes a brief recommendation, communication kit and brief group report, together with a reference guide and downloadable, versioned practice materials for internal use. The authorised recipient and group report date are agreed for each edition.</w:t>
      </w:r>
    </w:p>
    <w:p>
      <w:r>
        <w:br w:type="page"/>
      </w:r>
    </w:p>
    <w:p>
      <w:pPr>
        <w:pStyle w:val="Heading1"/>
      </w:pPr>
      <w:r>
        <w:rPr>
          <w:rFonts w:ascii="Noto Sans" w:hAnsi="Noto Sans" w:eastAsia="Noto Sans" w:cs="Noto Sans"/>
          <w:b/>
          <w:color w:val="000000"/>
          <w:sz w:val="36"/>
        </w:rPr>
        <w:t>Criteria and next steps</w:t>
      </w:r>
    </w:p>
    <w:p>
      <w:pPr>
        <w:pStyle w:val="Heading2"/>
      </w:pPr>
      <w:r>
        <w:rPr>
          <w:rFonts w:ascii="Noto Sans" w:hAnsi="Noto Sans" w:eastAsia="Noto Sans" w:cs="Noto Sans"/>
          <w:b/>
          <w:color w:val="000000"/>
          <w:sz w:val="24"/>
        </w:rPr>
        <w:t>Assessment criteria</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005"/>
        <w:gridCol w:w="6520"/>
      </w:tblGrid>
      <w:tr>
        <w:trPr>
          <w:tblHeader/>
          <w:cantSplit/>
        </w:trPr>
        <w:tc>
          <w:tcPr>
            <w:tcW w:type="dxa" w:w="3005"/>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Criterion</w:t>
            </w:r>
          </w:p>
        </w:tc>
        <w:tc>
          <w:tcPr>
            <w:tcW w:type="dxa" w:w="6520"/>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What to observe</w:t>
            </w:r>
          </w:p>
        </w:tc>
      </w:tr>
      <w:tr>
        <w:trPr>
          <w:cantSplit/>
        </w:trPr>
        <w:tc>
          <w:tcPr>
            <w:tcW w:type="dxa" w:w="3005"/>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Completes the task</w:t>
            </w:r>
          </w:p>
        </w:tc>
        <w:tc>
          <w:tcPr>
            <w:tcW w:type="dxa" w:w="6520"/>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Completes the agreed task and leaves an output another person can continue.</w:t>
            </w:r>
          </w:p>
        </w:tc>
      </w:tr>
      <w:tr>
        <w:trPr>
          <w:cantSplit/>
        </w:trPr>
        <w:tc>
          <w:tcPr>
            <w:tcW w:type="dxa" w:w="3005"/>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Checks the result</w:t>
            </w:r>
          </w:p>
        </w:tc>
        <w:tc>
          <w:tcPr>
            <w:tcW w:type="dxa" w:w="6520"/>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Checks the source and critical points in the case; identifies what remains outstanding.</w:t>
            </w:r>
          </w:p>
        </w:tc>
      </w:tr>
      <w:tr>
        <w:trPr>
          <w:cantSplit/>
        </w:trPr>
        <w:tc>
          <w:tcPr>
            <w:tcW w:type="dxa" w:w="3005"/>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Explains choices and limits</w:t>
            </w:r>
          </w:p>
        </w:tc>
        <w:tc>
          <w:tcPr>
            <w:tcW w:type="dxa" w:w="6520"/>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Explains choices, acknowledges assistance and limitations, and knows when to request a review.</w:t>
            </w:r>
          </w:p>
        </w:tc>
      </w:tr>
    </w:tbl>
    <w:p>
      <w:pPr>
        <w:spacing w:after="20" w:before="0" w:line="96" w:lineRule="auto"/>
      </w:pPr>
    </w:p>
    <w:p>
      <w:r>
        <w:rPr>
          <w:rFonts w:ascii="Noto Sans" w:hAnsi="Noto Sans" w:eastAsia="Noto Sans" w:cs="Noto Sans"/>
        </w:rPr>
        <w:t>Trainer decision: pass or needs review. Not observed describes insufficient evidence; it is not automatically a fail. Include a reason and the review required.</w:t>
      </w:r>
    </w:p>
    <w:p>
      <w:pPr>
        <w:pStyle w:val="Heading2"/>
      </w:pPr>
      <w:r>
        <w:rPr>
          <w:rFonts w:ascii="Noto Sans" w:hAnsi="Noto Sans" w:eastAsia="Noto Sans" w:cs="Noto Sans"/>
          <w:b/>
          <w:color w:val="000000"/>
          <w:sz w:val="24"/>
        </w:rPr>
        <w:t>Recommendations to the team</w:t>
      </w:r>
    </w:p>
    <w:p>
      <w:r>
        <w:rPr>
          <w:rFonts w:ascii="Noto Sans" w:hAnsi="Noto Sans" w:eastAsia="Noto Sans" w:cs="Noto Sans"/>
        </w:rPr>
        <w:t>[Next task, owner and check. Separate recommendations from contracted commitments; do not promise recovery or support without agreed scope.]</w:t>
      </w:r>
    </w:p>
    <w:p>
      <w:pPr>
        <w:pStyle w:val="Heading2"/>
      </w:pPr>
      <w:r>
        <w:rPr>
          <w:rFonts w:ascii="Noto Sans" w:hAnsi="Noto Sans" w:eastAsia="Noto Sans" w:cs="Noto Sans"/>
          <w:b/>
          <w:color w:val="000000"/>
          <w:sz w:val="24"/>
        </w:rPr>
        <w:t>Sharing and limitations</w:t>
      </w:r>
    </w:p>
    <w:p>
      <w:r>
        <w:rPr>
          <w:rFonts w:ascii="Noto Sans" w:hAnsi="Noto Sans" w:eastAsia="Noto Sans" w:cs="Noto Sans"/>
        </w:rPr>
        <w:t>[Agree authorised recipients, delivery date and handling of evidence. Exclude names when a code is sufficient, health data, rankings and personal judgements. Share an individual annex only by agreement.] The client can retain an internal-use copy of the materials. The proposal records the inventory, version and the date until which TOF’s link will be available for the edition. Indefinite link access and future updates are not promised. Recordings require prior agreement.</w:t>
      </w:r>
    </w:p>
    <w:p>
      <w:pPr>
        <w:shd w:fill="EAF4FA"/>
        <w:spacing w:before="160" w:after="160"/>
      </w:pPr>
      <w:r>
        <w:rPr>
          <w:rFonts w:ascii="Noto Sans" w:hAnsi="Noto Sans" w:eastAsia="Noto Sans" w:cs="Noto Sans"/>
          <w:sz w:val="19"/>
        </w:rPr>
        <w:t>Feedback takes place during the sessions and the brief group report is included. One calendar month of email support after the final session, covering the content taught: up to two hours in total for the whole group, with a response within two working days.</w:t>
      </w:r>
    </w:p>
    <w:p>
      <w:r>
        <w:br w:type="page"/>
      </w:r>
    </w:p>
    <w:p>
      <w:pPr>
        <w:pStyle w:val="Heading1"/>
      </w:pPr>
      <w:r>
        <w:rPr>
          <w:rFonts w:ascii="Noto Sans" w:hAnsi="Noto Sans" w:eastAsia="Noto Sans" w:cs="Noto Sans"/>
          <w:b/>
          <w:color w:val="000000"/>
          <w:sz w:val="36"/>
        </w:rPr>
        <w:t>Minimum individual record</w:t>
      </w:r>
    </w:p>
    <w:p>
      <w:r>
        <w:rPr>
          <w:rFonts w:ascii="Noto Sans" w:hAnsi="Noto Sans" w:eastAsia="Noto Sans" w:cs="Noto Sans"/>
        </w:rPr>
        <w:t>Minimum trainer assessment record. The standard company deliverable is the group summary. Share an individual annex only with agreed recipients and scope; use identifiers and avoid unnecessary data.</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81"/>
        <w:gridCol w:w="7143"/>
      </w:tblGrid>
      <w:tr>
        <w:trPr>
          <w:tblHeader/>
          <w:cantSplit/>
        </w:trPr>
        <w:tc>
          <w:tcPr>
            <w:tcW w:type="dxa" w:w="2381"/>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Field</w:t>
            </w:r>
          </w:p>
        </w:tc>
        <w:tc>
          <w:tcPr>
            <w:tcW w:type="dxa" w:w="7143"/>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Complete</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Identifier</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[Code]</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Objective</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[Observed task]</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Initial and final evidence</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[Authorised links or short description, date and version]</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Assistance received</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[Guidance needed]</w:t>
            </w:r>
          </w:p>
        </w:tc>
      </w:tr>
    </w:tbl>
    <w:p>
      <w:pPr>
        <w:spacing w:after="20" w:before="0" w:line="96" w:lineRule="auto"/>
      </w:pP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948"/>
        <w:gridCol w:w="4309"/>
        <w:gridCol w:w="2268"/>
      </w:tblGrid>
      <w:tr>
        <w:trPr>
          <w:tblHeader/>
          <w:cantSplit/>
        </w:trPr>
        <w:tc>
          <w:tcPr>
            <w:tcW w:type="dxa" w:w="2948"/>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Criterion</w:t>
            </w:r>
          </w:p>
        </w:tc>
        <w:tc>
          <w:tcPr>
            <w:tcW w:type="dxa" w:w="4309"/>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Observation</w:t>
            </w:r>
          </w:p>
        </w:tc>
        <w:tc>
          <w:tcPr>
            <w:tcW w:type="dxa" w:w="2268"/>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Status</w:t>
            </w:r>
          </w:p>
        </w:tc>
      </w:tr>
      <w:tr>
        <w:trPr>
          <w:cantSplit/>
        </w:trPr>
        <w:tc>
          <w:tcPr>
            <w:tcW w:type="dxa" w:w="2948"/>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Completes the task</w:t>
            </w:r>
          </w:p>
        </w:tc>
        <w:tc>
          <w:tcPr>
            <w:tcW w:type="dxa" w:w="4309"/>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[Evidence]</w:t>
            </w:r>
          </w:p>
        </w:tc>
        <w:tc>
          <w:tcPr>
            <w:tcW w:type="dxa" w:w="2268"/>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[Pass / needs review / not observed]</w:t>
            </w:r>
          </w:p>
        </w:tc>
      </w:tr>
      <w:tr>
        <w:trPr>
          <w:cantSplit/>
        </w:trPr>
        <w:tc>
          <w:tcPr>
            <w:tcW w:type="dxa" w:w="2948"/>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Checks the result</w:t>
            </w:r>
          </w:p>
        </w:tc>
        <w:tc>
          <w:tcPr>
            <w:tcW w:type="dxa" w:w="4309"/>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[Evidence]</w:t>
            </w:r>
          </w:p>
        </w:tc>
        <w:tc>
          <w:tcPr>
            <w:tcW w:type="dxa" w:w="2268"/>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[Status]</w:t>
            </w:r>
          </w:p>
        </w:tc>
      </w:tr>
      <w:tr>
        <w:trPr>
          <w:cantSplit/>
        </w:trPr>
        <w:tc>
          <w:tcPr>
            <w:tcW w:type="dxa" w:w="2948"/>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Explains choices and limits</w:t>
            </w:r>
          </w:p>
        </w:tc>
        <w:tc>
          <w:tcPr>
            <w:tcW w:type="dxa" w:w="4309"/>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[Evidence]</w:t>
            </w:r>
          </w:p>
        </w:tc>
        <w:tc>
          <w:tcPr>
            <w:tcW w:type="dxa" w:w="2268"/>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[Status]</w:t>
            </w:r>
          </w:p>
        </w:tc>
      </w:tr>
    </w:tbl>
    <w:p>
      <w:pPr>
        <w:spacing w:after="20" w:before="0" w:line="96" w:lineRule="auto"/>
      </w:pPr>
    </w:p>
    <w:p>
      <w:pPr>
        <w:pStyle w:val="Heading2"/>
      </w:pPr>
      <w:r>
        <w:rPr>
          <w:rFonts w:ascii="Noto Sans" w:hAnsi="Noto Sans" w:eastAsia="Noto Sans" w:cs="Noto Sans"/>
          <w:b/>
          <w:color w:val="000000"/>
          <w:sz w:val="24"/>
        </w:rPr>
        <w:t>Decision and required review</w:t>
      </w:r>
    </w:p>
    <w:p>
      <w:r>
        <w:rPr>
          <w:rFonts w:ascii="Noto Sans" w:hAnsi="Noto Sans" w:eastAsia="Noto Sans" w:cs="Noto Sans"/>
        </w:rPr>
        <w:t>[Pass/needs review decision, reason, next step and owner. Do not add a numerical grade that has not been agreed.]</w:t>
      </w:r>
    </w:p>
    <w:sectPr w:rsidR="00FC693F" w:rsidRPr="0006063C" w:rsidSect="00034616">
      <w:headerReference w:type="default" r:id="rId9"/>
      <w:footerReference w:type="default" r:id="rId10"/>
      <w:pgSz w:w="11906" w:h="16838"/>
      <w:pgMar w:top="935" w:right="1191" w:bottom="907" w:left="1191" w:header="340" w:footer="369" w:gutter="0"/>
      <w:cols w:space="720"/>
      <w:docGrid w:linePitch="360"/>
    </w:sectPr>
  </w:body>
</w:document>
</file>

<file path=word/fontTable.xml><?xml version="1.0" encoding="utf-8"?>
<ns0:fonts xmlns:ns0="http://schemas.openxmlformats.org/wordprocessingml/2006/main" xmlns:ns1="http://schemas.openxmlformats.org/markup-compatibility/2006" ns1:Ignorable="w14">
  <ns0:font ns0:name="Symbol">
    <ns0:panose1 ns0:val="00000000000000000000"/>
    <ns0:charset ns0:val="02"/>
    <ns0:family ns0:val="auto"/>
    <ns0:pitch ns0:val="variable"/>
    <ns0:sig ns0:usb0="00000000" ns0:usb1="10000000" ns0:usb2="00000000" ns0:usb3="00000000" ns0:csb0="80000000" ns0:csb1="00000000"/>
  </ns0:font>
  <ns0:font ns0:name="Times New Roman">
    <ns0:panose1 ns0:val="02020603050405020304"/>
    <ns0:charset ns0:val="00"/>
    <ns0:family ns0:val="auto"/>
    <ns0:pitch ns0:val="variable"/>
    <ns0:sig ns0:usb0="E0002AFF" ns0:usb1="C0007841" ns0:usb2="00000009" ns0:usb3="00000000" ns0:csb0="000001FF" ns0:csb1="00000000"/>
  </ns0:font>
  <ns0:font ns0:name="Cambria">
    <ns0:panose1 ns0:val="02040503050406030204"/>
    <ns0:charset ns0:val="00"/>
    <ns0:family ns0:val="auto"/>
    <ns0:pitch ns0:val="variable"/>
    <ns0:sig ns0:usb0="E00002FF" ns0:usb1="400004FF" ns0:usb2="00000000" ns0:usb3="00000000" ns0:csb0="0000019F" ns0:csb1="00000000"/>
  </ns0:font>
  <ns0:font ns0:name="ＭＳ 明朝">
    <ns0:panose1 ns0:val="00000000000000000000"/>
    <ns0:charset ns0:val="80"/>
    <ns0:family ns0:val="roman"/>
    <ns0:notTrueType/>
    <ns0:pitch ns0:val="fixed"/>
    <ns0:sig ns0:usb0="00000001" ns0:usb1="08070000" ns0:usb2="00000010" ns0:usb3="00000000" ns0:csb0="00020000" ns0:csb1="00000000"/>
  </ns0:font>
  <ns0:font ns0:name="Calibri">
    <ns0:panose1 ns0:val="020F0502020204030204"/>
    <ns0:charset ns0:val="00"/>
    <ns0:family ns0:val="auto"/>
    <ns0:pitch ns0:val="variable"/>
    <ns0:sig ns0:usb0="E10002FF" ns0:usb1="4000ACFF" ns0:usb2="00000009" ns0:usb3="00000000" ns0:csb0="0000019F" ns0:csb1="00000000"/>
  </ns0:font>
  <ns0:font ns0:name="ＭＳ ゴシック">
    <ns0:panose1 ns0:val="00000000000000000000"/>
    <ns0:charset ns0:val="80"/>
    <ns0:family ns0:val="modern"/>
    <ns0:notTrueType/>
    <ns0:pitch ns0:val="fixed"/>
    <ns0:sig ns0:usb0="00000001" ns0:usb1="08070000" ns0:usb2="00000010" ns0:usb3="00000000" ns0:csb0="00020000" ns0:csb1="00000000"/>
  </ns0:font>
  <ns0:font ns0:name="Courier">
    <ns0:panose1 ns0:val="02000500000000000000"/>
    <ns0:charset ns0:val="00"/>
    <ns0:family ns0:val="auto"/>
    <ns0:pitch ns0:val="variable"/>
    <ns0:sig ns0:usb0="00000003" ns0:usb1="00000000" ns0:usb2="00000000" ns0:usb3="00000000" ns0:csb0="00000001" ns0:csb1="00000000"/>
  </ns0:font>
  <ns0:font ns0:name="Arial">
    <ns0:panose1 ns0:val="020B0604020202020204"/>
    <ns0:charset ns0:val="00"/>
    <ns0:family ns0:val="auto"/>
    <ns0:pitch ns0:val="variable"/>
    <ns0:sig ns0:usb0="E0002AFF" ns0:usb1="C0007843" ns0:usb2="00000009" ns0:usb3="00000000" ns0:csb0="000001FF" ns0:csb1="00000000"/>
  </ns0:font>
  <ns0:font ns0:name="Noto Sans">
    <ns0:altName ns0:val="Noto Sans"/>
    <ns0:family ns0:val="swiss"/>
    <ns0:pitch ns0:val="variable"/>
    <ns0:charset ns0:val="00"/>
    <ns0:panose1 ns0:val="020B0504020202020204"/>
  </ns0:font>
</ns0: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Noto Sans" w:hAnsi="Noto Sans" w:eastAsia="Noto Sans" w:cs="Noto Sans"/>
        <w:b w:val="0"/>
        <w:color w:val="5C7180"/>
        <w:sz w:val="16"/>
      </w:rPr>
      <w:t xml:space="preserve">TOF Learn · AV08 · v2 · </w:t>
    </w:r>
    <w:fldSimple w:instr="PAGE">
      <w:r>
        <w:t>1</w:t>
      </w:r>
    </w:fldSimple>
    <w:r>
      <w:rPr>
        <w:rFonts w:ascii="Noto Sans" w:hAnsi="Noto Sans" w:eastAsia="Noto Sans" w:cs="Noto Sans"/>
        <w:b w:val="0"/>
        <w:color w:val="5C7180"/>
        <w:sz w:val="16"/>
      </w:rPr>
      <w:t xml:space="preserve"> / </w:t>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524" w:val="right"/>
      </w:tabs>
    </w:pPr>
    <w:r>
      <w:rPr>
        <w:rFonts w:ascii="Noto Sans" w:hAnsi="Noto Sans" w:eastAsia="Noto Sans" w:cs="Noto Sans"/>
        <w:b/>
        <w:color w:val="000000"/>
        <w:sz w:val="18"/>
      </w:rPr>
      <w:t>The Optimal Flow  /  learn</w:t>
    </w:r>
    <w:r>
      <w:rPr>
        <w:rFonts w:ascii="Noto Sans" w:hAnsi="Noto Sans" w:eastAsia="Noto Sans" w:cs="Noto Sans"/>
        <w:b w:val="0"/>
        <w:color w:val="5C7180"/>
        <w:sz w:val="16"/>
      </w:rPr>
      <w:tab/>
      <w:t>EDITABLE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en-G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1" w:lineRule="auto"/>
    </w:pPr>
    <w:rPr>
      <w:rFonts w:ascii="Noto Sans" w:hAnsi="Noto Sans"/>
      <w:color w:val="183746"/>
      <w:sz w:val="22"/>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Noto Sans" w:hAnsi="Noto Sans"/>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Noto Sans" w:hAnsi="Noto Sans"/>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b/>
      <w:bCs/>
      <w:color w:val="4F81BD" w:themeColor="accent1"/>
      <w:sz w:val="26"/>
      <w:szCs w:val="26"/>
    </w:rPr>
  </w:style>
  <w:style w:type="character" w:customStyle="1" w:styleId="Heading3Char">
    <w:name w:val="Heading 3 Char"/>
    <w:basedOn w:val="DefaultParagraphFont"/>
    <w:link w:val="Heading3"/>
    <w:uiPriority w:val="9"/>
    <w:rsid w:val="00FC693F"/>
    <w:rPr>
      <w:rFonts/>
      <w:b/>
      <w:bCs/>
      <w:color w:val="4F81BD" w:themeColor="accent1"/>
    </w:rPr>
  </w:style>
  <w:style w:type="paragraph" w:styleId="Title">
    <w:name w:val="Title"/>
    <w:basedOn w:val="Normal"/>
    <w:next w:val="Normal"/>
    <w:link w:val="TitleChar"/>
    <w:uiPriority w:val="10"/>
    <w:qFormat/>
    <w:rsid w:val="00FC693F"/>
    <w:pPr>
      <w:keepNext/>
      <w:spacing w:after="120" w:line="240" w:lineRule="auto" w:before="80"/>
      <w:contextualSpacing/>
    </w:pPr>
    <w:rPr>
      <w:rFonts w:ascii="Noto Sans" w:hAnsi="Noto Sans"/>
      <w:b/>
      <w:color w:val="000000"/>
      <w:spacing w:val="5"/>
      <w:kern w:val="28"/>
      <w:sz w:val="48"/>
      <w:szCs w:val="52"/>
    </w:rPr>
  </w:style>
  <w:style w:type="character" w:customStyle="1" w:styleId="TitleChar">
    <w:name w:val="Title Char"/>
    <w:basedOn w:val="DefaultParagraphFont"/>
    <w:link w:val="Title"/>
    <w:uiPriority w:val="10"/>
    <w:rsid w:val="00FC693F"/>
    <w:rPr>
      <w:rFonts/>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b/>
      <w:bCs/>
      <w:i/>
      <w:iCs/>
      <w:color w:val="4F81BD" w:themeColor="accent1"/>
    </w:rPr>
  </w:style>
  <w:style w:type="character" w:customStyle="1" w:styleId="Heading5Char">
    <w:name w:val="Heading 5 Char"/>
    <w:basedOn w:val="DefaultParagraphFont"/>
    <w:link w:val="Heading5"/>
    <w:uiPriority w:val="9"/>
    <w:semiHidden/>
    <w:rsid w:val="00FC693F"/>
    <w:rPr>
      <w:rFonts/>
      <w:color w:val="243F60" w:themeColor="accent1" w:themeShade="7F"/>
    </w:rPr>
  </w:style>
  <w:style w:type="character" w:customStyle="1" w:styleId="Heading6Char">
    <w:name w:val="Heading 6 Char"/>
    <w:basedOn w:val="DefaultParagraphFont"/>
    <w:link w:val="Heading6"/>
    <w:uiPriority w:val="9"/>
    <w:semiHidden/>
    <w:rsid w:val="00FC693F"/>
    <w:rPr>
      <w:rFonts/>
      <w:i/>
      <w:iCs/>
      <w:color w:val="243F60" w:themeColor="accent1" w:themeShade="7F"/>
    </w:rPr>
  </w:style>
  <w:style w:type="character" w:customStyle="1" w:styleId="Heading7Char">
    <w:name w:val="Heading 7 Char"/>
    <w:basedOn w:val="DefaultParagraphFont"/>
    <w:link w:val="Heading7"/>
    <w:uiPriority w:val="9"/>
    <w:semiHidden/>
    <w:rsid w:val="00FC693F"/>
    <w:rPr>
      <w:rFonts/>
      <w:i/>
      <w:iCs/>
      <w:color w:val="404040" w:themeColor="text1" w:themeTint="BF"/>
    </w:rPr>
  </w:style>
  <w:style w:type="character" w:customStyle="1" w:styleId="Heading8Char">
    <w:name w:val="Heading 8 Char"/>
    <w:basedOn w:val="DefaultParagraphFont"/>
    <w:link w:val="Heading8"/>
    <w:uiPriority w:val="9"/>
    <w:semiHidden/>
    <w:rsid w:val="00FC693F"/>
    <w:rPr>
      <w:rFonts/>
      <w:color w:val="4F81BD" w:themeColor="accent1"/>
      <w:sz w:val="20"/>
      <w:szCs w:val="20"/>
    </w:rPr>
  </w:style>
  <w:style w:type="character" w:customStyle="1" w:styleId="Heading9Char">
    <w:name w:val="Heading 9 Char"/>
    <w:basedOn w:val="DefaultParagraphFont"/>
    <w:link w:val="Heading9"/>
    <w:uiPriority w:val="9"/>
    <w:semiHidden/>
    <w:rsid w:val="00FC693F"/>
    <w:rPr>
      <w:rFont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b/>
        <w:bCs/>
      </w:rPr>
    </w:tblStylePr>
    <w:tblStylePr w:type="lastCol">
      <w:rPr>
        <w:rFont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b/>
        <w:bCs/>
      </w:rPr>
    </w:tblStylePr>
    <w:tblStylePr w:type="lastCol">
      <w:rPr>
        <w:rFonts/>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b/>
        <w:bCs/>
      </w:rPr>
    </w:tblStylePr>
    <w:tblStylePr w:type="lastCol">
      <w:rPr>
        <w:rFonts/>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b/>
        <w:bCs/>
      </w:rPr>
    </w:tblStylePr>
    <w:tblStylePr w:type="lastCol">
      <w:rPr>
        <w:rFonts/>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b/>
        <w:bCs/>
      </w:rPr>
    </w:tblStylePr>
    <w:tblStylePr w:type="lastCol">
      <w:rPr>
        <w:rFonts/>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b/>
        <w:bCs/>
      </w:rPr>
    </w:tblStylePr>
    <w:tblStylePr w:type="lastCol">
      <w:rPr>
        <w:rFonts/>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b/>
        <w:bCs/>
      </w:rPr>
    </w:tblStylePr>
    <w:tblStylePr w:type="lastCol">
      <w:rPr>
        <w:rFonts/>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Learning report</dc:title>
  <dc:subject>TOF Learn · AV08</dc:subject>
  <dc:creator>The Optimal Flow</dc:creator>
  <cp:keywords>Learn, editable, plantilla, template, en</cp:keywords>
  <dc:description>generated by python-docx</dc:description>
  <cp:lastModifiedBy/>
  <cp:revision>1</cp:revision>
  <dcterms:created xsi:type="dcterms:W3CDTF">2026-10-13T00:00:00Z</dcterms:created>
  <dcterms:modified xsi:type="dcterms:W3CDTF">2013-12-23T23:15:00Z</dcterms:modified>
  <cp:category/>
</cp:coreProperties>
</file>