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" w:hAnsi="Noto Sans" w:eastAsia="Noto Sans" w:cs="Noto Sans"/>
          <w:b/>
          <w:color w:val="000000"/>
          <w:sz w:val="48"/>
        </w:rPr>
        <w:t>Informe de aprendizaje</w:t>
      </w:r>
    </w:p>
    <w:p>
      <w:pPr>
        <w:spacing w:after="240"/>
      </w:pPr>
      <w:r>
        <w:rPr>
          <w:rFonts w:ascii="Noto Sans" w:hAnsi="Noto Sans" w:eastAsia="Noto Sans" w:cs="Noto Sans"/>
          <w:b w:val="0"/>
          <w:color w:val="5C7180"/>
          <w:sz w:val="20"/>
        </w:rPr>
        <w:t>Completar y adaptar antes de utilizar</w:t>
      </w:r>
    </w:p>
    <w:p>
      <w:r>
        <w:rPr>
          <w:rFonts w:ascii="Noto Sans" w:hAnsi="Noto Sans" w:eastAsia="Noto Sans" w:cs="Noto Sans"/>
        </w:rPr>
        <w:t>El informe breve de grupo está incluido. Resume lo observado en aula para la persona responsable de la empresa. Acuerda destinatarios, fecha de entrega y tratamiento de la evidencia antes de recoger datos. No certifica resultados de negocio ni evalúa el desempeño laboral.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7143"/>
      </w:tblGrid>
      <w:tr>
        <w:trPr>
          <w:tblHeader/>
          <w:cantSplit/>
        </w:trPr>
        <w:tc>
          <w:tcPr>
            <w:tcW w:type="dxa" w:w="2381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Dato</w:t>
            </w:r>
          </w:p>
        </w:tc>
        <w:tc>
          <w:tcPr>
            <w:tcW w:type="dxa" w:w="714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Completar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Programa y edición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[Título, fechas, versión y enlace]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Responsable del informe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[Docente y fecha de preparación]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Destinatario y alcance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[Responsable autorizado y fecha del informe de grupo; anexo individual solo por acuerdo]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Participación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[Inscritos, quienes realizaron la práctica y ausencias si son necesarias]</w:t>
            </w:r>
          </w:p>
        </w:tc>
      </w:tr>
    </w:tbl>
    <w:p>
      <w:pPr>
        <w:spacing w:after="20" w:before="0" w:line="96" w:lineRule="auto"/>
      </w:pP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Objetivo y comparación</w:t>
      </w:r>
    </w:p>
    <w:p>
      <w:r>
        <w:rPr>
          <w:rFonts w:ascii="Noto Sans" w:hAnsi="Noto Sans" w:eastAsia="Noto Sans" w:cs="Noto Sans"/>
        </w:rPr>
        <w:t>[Tarea inicial y final sobre el mismo objetivo. Explica qué cambió, qué ayuda se recibió y qué no se observó. Enlaza evidencia autorizada sin copiar contenido sensible.]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Resumen del grupo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123"/>
      </w:tblGrid>
      <w:tr>
        <w:trPr>
          <w:tblHeader/>
          <w:cantSplit/>
        </w:trPr>
        <w:tc>
          <w:tcPr>
            <w:tcW w:type="dxa" w:w="3402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Observación</w:t>
            </w:r>
          </w:p>
        </w:tc>
        <w:tc>
          <w:tcPr>
            <w:tcW w:type="dxa" w:w="612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Evidencia o recuento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[Capacidad observada]</w:t>
            </w:r>
          </w:p>
        </w:tc>
        <w:tc>
          <w:tcPr>
            <w:tcW w:type="dxa" w:w="612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[Tarea, muestra o recuento sin inferir resultados]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[Dificultad común]</w:t>
            </w:r>
          </w:p>
        </w:tc>
        <w:tc>
          <w:tcPr>
            <w:tcW w:type="dxa" w:w="612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[Contexto y ayuda necesaria]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[Límite de la revisión]</w:t>
            </w:r>
          </w:p>
        </w:tc>
        <w:tc>
          <w:tcPr>
            <w:tcW w:type="dxa" w:w="612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[Qué no se ha comprobado]</w:t>
            </w:r>
          </w:p>
        </w:tc>
      </w:tr>
    </w:tbl>
    <w:p>
      <w:pPr>
        <w:spacing w:after="20" w:before="0" w:line="96" w:lineRule="auto"/>
      </w:pPr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El paquete básico incluye recomendación breve, kit de comunicación e informe breve de grupo, además de guía y materiales de práctica descargables y versionados para uso interno. El destinatario autorizado y la fecha del informe de grupo se acuerdan por edición.</w:t>
      </w:r>
    </w:p>
    <w:p>
      <w:r>
        <w:br w:type="page"/>
      </w:r>
    </w:p>
    <w:p>
      <w:pPr>
        <w:pStyle w:val="Heading1"/>
      </w:pPr>
      <w:r>
        <w:rPr>
          <w:rFonts w:ascii="Noto Sans" w:hAnsi="Noto Sans" w:eastAsia="Noto Sans" w:cs="Noto Sans"/>
          <w:b/>
          <w:color w:val="000000"/>
          <w:sz w:val="36"/>
        </w:rPr>
        <w:t>Criterios y próximos pasos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Criterios de aprovechamiento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05"/>
        <w:gridCol w:w="6520"/>
      </w:tblGrid>
      <w:tr>
        <w:trPr>
          <w:tblHeader/>
          <w:cantSplit/>
        </w:trPr>
        <w:tc>
          <w:tcPr>
            <w:tcW w:type="dxa" w:w="3005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Criterio</w:t>
            </w:r>
          </w:p>
        </w:tc>
        <w:tc>
          <w:tcPr>
            <w:tcW w:type="dxa" w:w="6520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Qué observar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Completa la tarea</w:t>
            </w:r>
          </w:p>
        </w:tc>
        <w:tc>
          <w:tcPr>
            <w:tcW w:type="dxa" w:w="6520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Realiza el encargo acordado y deja una entrega que puede continuar otra persona.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Comprueba el resultado</w:t>
            </w:r>
          </w:p>
        </w:tc>
        <w:tc>
          <w:tcPr>
            <w:tcW w:type="dxa" w:w="6520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Contrasta con la fuente y prueba los puntos críticos del caso; identifica lo pendiente.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Explica decisiones y límites</w:t>
            </w:r>
          </w:p>
        </w:tc>
        <w:tc>
          <w:tcPr>
            <w:tcW w:type="dxa" w:w="6520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Justifica lo realizado, reconoce ayuda y límites y sabe cuándo pedir revisión.</w:t>
            </w:r>
          </w:p>
        </w:tc>
      </w:tr>
    </w:tbl>
    <w:p>
      <w:pPr>
        <w:spacing w:after="20" w:before="0" w:line="96" w:lineRule="auto"/>
      </w:pPr>
    </w:p>
    <w:p>
      <w:r>
        <w:rPr>
          <w:rFonts w:ascii="Noto Sans" w:hAnsi="Noto Sans" w:eastAsia="Noto Sans" w:cs="Noto Sans"/>
        </w:rPr>
        <w:t>Resultado del docente: apto o por revisar. No observado describe evidencia insuficiente; no equivale automáticamente a suspenso. La decisión debe incluir un motivo y la revisión necesaria.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Recomendaciones al equipo</w:t>
      </w:r>
    </w:p>
    <w:p>
      <w:r>
        <w:rPr>
          <w:rFonts w:ascii="Noto Sans" w:hAnsi="Noto Sans" w:eastAsia="Noto Sans" w:cs="Noto Sans"/>
        </w:rPr>
        <w:t>[Próxima tarea, responsable y comprobación. Distingue recomendaciones de compromisos contratados y evita una recuperación o soporte sin alcance acordado.]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Compartición y límites</w:t>
      </w:r>
    </w:p>
    <w:p>
      <w:r>
        <w:rPr>
          <w:rFonts w:ascii="Noto Sans" w:hAnsi="Noto Sans" w:eastAsia="Noto Sans" w:cs="Noto Sans"/>
        </w:rPr>
        <w:t>[Destinatarios autorizados, fecha de entrega y tratamiento de evidencias por acordar. No incluir nombres si basta un código, datos de salud, rankings ni valoraciones personales. El anexo individual solo se comparte si se acuerda.] El cliente puede conservar su copia de los materiales para uso interno. La propuesta concreta inventario, versión y fecha hasta la que estará disponible el enlace de TOF por edición. No se promete acceso indefinido al enlace ni futuras actualizaciones. Las grabaciones requieren acuerdo previo.</w:t>
      </w:r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El feedback se da durante las sesiones y el informe breve de grupo está incluido. Un mes natural de soporte por correo tras la última sesión, sobre el contenido impartido: hasta dos horas acumuladas para el conjunto del grupo, con respuesta en un máximo de dos días laborables.</w:t>
      </w:r>
    </w:p>
    <w:p>
      <w:r>
        <w:br w:type="page"/>
      </w:r>
    </w:p>
    <w:p>
      <w:pPr>
        <w:pStyle w:val="Heading1"/>
      </w:pPr>
      <w:r>
        <w:rPr>
          <w:rFonts w:ascii="Noto Sans" w:hAnsi="Noto Sans" w:eastAsia="Noto Sans" w:cs="Noto Sans"/>
          <w:b/>
          <w:color w:val="000000"/>
          <w:sz w:val="36"/>
        </w:rPr>
        <w:t>Registro individual mínimo</w:t>
      </w:r>
    </w:p>
    <w:p>
      <w:r>
        <w:rPr>
          <w:rFonts w:ascii="Noto Sans" w:hAnsi="Noto Sans" w:eastAsia="Noto Sans" w:cs="Noto Sans"/>
        </w:rPr>
        <w:t>Registro mínimo de evaluación del docente. La entrega habitual a la empresa es el resumen de grupo. Comparte un anexo individual solo con destinatarios y alcance acordados; utiliza identificadores y evita datos innecesarios.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7143"/>
      </w:tblGrid>
      <w:tr>
        <w:trPr>
          <w:tblHeader/>
          <w:cantSplit/>
        </w:trPr>
        <w:tc>
          <w:tcPr>
            <w:tcW w:type="dxa" w:w="2381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Dato</w:t>
            </w:r>
          </w:p>
        </w:tc>
        <w:tc>
          <w:tcPr>
            <w:tcW w:type="dxa" w:w="714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Completar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Identificador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[Código]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Objetivo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[Tarea que se observó]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Evidencia inicial y final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[Enlaces o breve descripción autorizada, fecha y versión]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Ayuda recibida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[Qué orientación fue necesaria]</w:t>
            </w:r>
          </w:p>
        </w:tc>
      </w:tr>
    </w:tbl>
    <w:p>
      <w:pPr>
        <w:spacing w:after="20" w:before="0" w:line="96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48"/>
        <w:gridCol w:w="4309"/>
        <w:gridCol w:w="2268"/>
      </w:tblGrid>
      <w:tr>
        <w:trPr>
          <w:tblHeader/>
          <w:cantSplit/>
        </w:trPr>
        <w:tc>
          <w:tcPr>
            <w:tcW w:type="dxa" w:w="2948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Criterio</w:t>
            </w:r>
          </w:p>
        </w:tc>
        <w:tc>
          <w:tcPr>
            <w:tcW w:type="dxa" w:w="4309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Observación</w:t>
            </w:r>
          </w:p>
        </w:tc>
        <w:tc>
          <w:tcPr>
            <w:tcW w:type="dxa" w:w="2268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Estado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Completa la tarea</w:t>
            </w:r>
          </w:p>
        </w:tc>
        <w:tc>
          <w:tcPr>
            <w:tcW w:type="dxa" w:w="4309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[Evidencia]</w:t>
            </w:r>
          </w:p>
        </w:tc>
        <w:tc>
          <w:tcPr>
            <w:tcW w:type="dxa" w:w="226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[Apto / por revisar / no observado]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Comprueba el resultado</w:t>
            </w:r>
          </w:p>
        </w:tc>
        <w:tc>
          <w:tcPr>
            <w:tcW w:type="dxa" w:w="4309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[Evidencia]</w:t>
            </w:r>
          </w:p>
        </w:tc>
        <w:tc>
          <w:tcPr>
            <w:tcW w:type="dxa" w:w="226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[Estado]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Explica decisiones y límites</w:t>
            </w:r>
          </w:p>
        </w:tc>
        <w:tc>
          <w:tcPr>
            <w:tcW w:type="dxa" w:w="4309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[Evidencia]</w:t>
            </w:r>
          </w:p>
        </w:tc>
        <w:tc>
          <w:tcPr>
            <w:tcW w:type="dxa" w:w="2268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[Estado]</w:t>
            </w:r>
          </w:p>
        </w:tc>
      </w:tr>
    </w:tbl>
    <w:p>
      <w:pPr>
        <w:spacing w:after="20" w:before="0" w:line="96" w:lineRule="auto"/>
      </w:pP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Decisión y revisión necesaria</w:t>
      </w:r>
    </w:p>
    <w:p>
      <w:r>
        <w:rPr>
          <w:rFonts w:ascii="Noto Sans" w:hAnsi="Noto Sans" w:eastAsia="Noto Sans" w:cs="Noto Sans"/>
        </w:rPr>
        <w:t>[Decisión apto/por revisar, motivo, siguiente paso y responsable. No añadir una nota numérica que no se haya acordado.]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91" w:bottom="907" w:left="1191" w:header="340" w:footer="369" w:gutter="0"/>
      <w:cols w:space="720"/>
      <w:docGrid w:linePitch="360"/>
    </w:sectPr>
  </w:body>
</w:document>
</file>

<file path=word/fontTable.xml><?xml version="1.0" encoding="utf-8"?>
<ns0:fonts xmlns:ns0="http://schemas.openxmlformats.org/wordprocessingml/2006/main" xmlns:ns1="http://schemas.openxmlformats.org/markup-compatibility/2006" ns1:Ignorable="w14">
  <ns0:font ns0:name="Symbol">
    <ns0:panose1 ns0:val="00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00"/>
    <ns0:family ns0:val="auto"/>
    <ns0:pitch ns0:val="variable"/>
    <ns0:sig ns0:usb0="E0002AFF" ns0:usb1="C0007841" ns0:usb2="00000009" ns0:usb3="00000000" ns0:csb0="000001FF" ns0:csb1="00000000"/>
  </ns0:font>
  <ns0:font ns0:name="Cambria">
    <ns0:panose1 ns0:val="02040503050406030204"/>
    <ns0:charset ns0:val="00"/>
    <ns0:family ns0:val="auto"/>
    <ns0:pitch ns0:val="variable"/>
    <ns0:sig ns0:usb0="E00002FF" ns0:usb1="400004FF" ns0:usb2="00000000" ns0:usb3="00000000" ns0:csb0="0000019F" ns0:csb1="00000000"/>
  </ns0:font>
  <ns0:font ns0:name="ＭＳ 明朝">
    <ns0:panose1 ns0:val="00000000000000000000"/>
    <ns0:charset ns0:val="80"/>
    <ns0:family ns0:val="roman"/>
    <ns0:notTrueType/>
    <ns0:pitch ns0:val="fixed"/>
    <ns0:sig ns0:usb0="00000001" ns0:usb1="08070000" ns0:usb2="00000010" ns0:usb3="00000000" ns0:csb0="00020000" ns0:csb1="00000000"/>
  </ns0:font>
  <ns0:font ns0:name="Calibri">
    <ns0:panose1 ns0:val="020F0502020204030204"/>
    <ns0:charset ns0:val="00"/>
    <ns0:family ns0:val="auto"/>
    <ns0:pitch ns0:val="variable"/>
    <ns0:sig ns0:usb0="E10002FF" ns0:usb1="4000ACFF" ns0:usb2="00000009" ns0:usb3="00000000" ns0:csb0="0000019F" ns0:csb1="00000000"/>
  </ns0:font>
  <ns0:font ns0:name="ＭＳ ゴシック">
    <ns0:panose1 ns0:val="00000000000000000000"/>
    <ns0:charset ns0:val="80"/>
    <ns0:family ns0:val="modern"/>
    <ns0:notTrueType/>
    <ns0:pitch ns0:val="fixed"/>
    <ns0:sig ns0:usb0="00000001" ns0:usb1="08070000" ns0:usb2="00000010" ns0:usb3="00000000" ns0:csb0="00020000" ns0:csb1="00000000"/>
  </ns0:font>
  <ns0:font ns0:name="Courier">
    <ns0:panose1 ns0:val="02000500000000000000"/>
    <ns0:charset ns0:val="00"/>
    <ns0:family ns0:val="auto"/>
    <ns0:pitch ns0:val="variable"/>
    <ns0:sig ns0:usb0="00000003" ns0:usb1="00000000" ns0:usb2="00000000" ns0:usb3="00000000" ns0:csb0="00000001" ns0:csb1="00000000"/>
  </ns0:font>
  <ns0:font ns0:name="Arial">
    <ns0:panose1 ns0:val="020B0604020202020204"/>
    <ns0:charset ns0:val="00"/>
    <ns0:family ns0:val="auto"/>
    <ns0:pitch ns0:val="variable"/>
    <ns0:sig ns0:usb0="E0002AFF" ns0:usb1="C0007843" ns0:usb2="00000009" ns0:usb3="00000000" ns0:csb0="000001FF" ns0:csb1="00000000"/>
  </ns0:font>
  <ns0:font ns0:name="Noto Sans">
    <ns0:altName ns0:val="Noto Sans"/>
    <ns0:family ns0:val="swiss"/>
    <ns0:pitch ns0:val="variable"/>
    <ns0:charset ns0:val="00"/>
    <ns0:panose1 ns0:val="020B0504020202020204"/>
  </ns0:font>
</ns0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" w:hAnsi="Noto Sans" w:eastAsia="Noto Sans" w:cs="Noto Sans"/>
        <w:b w:val="0"/>
        <w:color w:val="5C7180"/>
        <w:sz w:val="16"/>
      </w:rPr>
      <w:t xml:space="preserve">TOF Learn · AV08 · v2 · </w:t>
    </w:r>
    <w:fldSimple w:instr="PAGE">
      <w:r>
        <w:t>1</w:t>
      </w:r>
    </w:fldSimple>
    <w:r>
      <w:rPr>
        <w:rFonts w:ascii="Noto Sans" w:hAnsi="Noto Sans" w:eastAsia="Noto Sans" w:cs="Noto Sans"/>
        <w:b w:val="0"/>
        <w:color w:val="5C7180"/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24" w:val="right"/>
      </w:tabs>
    </w:pPr>
    <w:r>
      <w:rPr>
        <w:rFonts w:ascii="Noto Sans" w:hAnsi="Noto Sans" w:eastAsia="Noto Sans" w:cs="Noto Sans"/>
        <w:b/>
        <w:color w:val="000000"/>
        <w:sz w:val="18"/>
      </w:rPr>
      <w:t>The Optimal Flow  /  learn</w:t>
    </w:r>
    <w:r>
      <w:rPr>
        <w:rFonts w:ascii="Noto Sans" w:hAnsi="Noto Sans" w:eastAsia="Noto Sans" w:cs="Noto Sans"/>
        <w:b w:val="0"/>
        <w:color w:val="5C7180"/>
        <w:sz w:val="16"/>
      </w:rPr>
      <w:tab/>
      <w:t>PLANTILLA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1" w:lineRule="auto"/>
    </w:pPr>
    <w:rPr>
      <w:rFonts w:ascii="Noto Sans" w:hAnsi="Noto Sans"/>
      <w:color w:val="183746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Noto Sans" w:hAnsi="Noto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Noto Sans" w:hAnsi="Noto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80"/>
      <w:contextualSpacing/>
    </w:pPr>
    <w:rPr>
      <w:rFonts w:ascii="Noto Sans" w:hAnsi="Noto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aprendizaje</dc:title>
  <dc:subject>TOF Learn · AV08</dc:subject>
  <dc:creator>The Optimal Flow</dc:creator>
  <cp:keywords>Learn, editable, plantilla, template, es</cp:keywords>
  <dc:description>generated by python-docx</dc:description>
  <cp:lastModifiedBy/>
  <cp:revision>1</cp:revision>
  <dcterms:created xsi:type="dcterms:W3CDTF">2026-10-13T00:00:00Z</dcterms:created>
  <dcterms:modified xsi:type="dcterms:W3CDTF">2013-12-23T23:15:00Z</dcterms:modified>
  <cp:category/>
</cp:coreProperties>
</file>