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oto Sans" w:hAnsi="Noto Sans" w:eastAsia="Noto Sans" w:cs="Noto Sans"/>
          <w:b/>
          <w:color w:val="000000"/>
          <w:sz w:val="48"/>
        </w:rPr>
        <w:t>Training recommendation</w:t>
      </w:r>
    </w:p>
    <w:p>
      <w:pPr>
        <w:spacing w:after="240"/>
      </w:pPr>
      <w:r>
        <w:rPr>
          <w:rFonts w:ascii="Noto Sans" w:hAnsi="Noto Sans" w:eastAsia="Noto Sans" w:cs="Noto Sans"/>
          <w:b w:val="0"/>
          <w:color w:val="5C7180"/>
          <w:sz w:val="20"/>
        </w:rPr>
        <w:t>Complete and adapt before use</w:t>
      </w:r>
    </w:p>
    <w:p>
      <w:r>
        <w:rPr>
          <w:rFonts w:ascii="Noto Sans" w:hAnsi="Noto Sans" w:eastAsia="Noto Sans" w:cs="Noto Sans"/>
        </w:rPr>
        <w:t>Record the recommendation after speaking with the team. Separate observations, the proposal and unresolved questions. It does not replace a quote or confirm an edition.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81"/>
        <w:gridCol w:w="7143"/>
      </w:tblGrid>
      <w:tr>
        <w:trPr>
          <w:tblHeader/>
          <w:cantSplit/>
        </w:trPr>
        <w:tc>
          <w:tcPr>
            <w:tcW w:type="dxa" w:w="2381"/>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Field</w:t>
            </w:r>
          </w:p>
        </w:tc>
        <w:tc>
          <w:tcPr>
            <w:tcW w:type="dxa" w:w="7143"/>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Complete</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Company and team</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[Organisation, department and roles; no unnecessary data]</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Conversation and sources</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[Date, contact and authorised examples reviewed]</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Prepared and reviewed by</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[Owners and version]</w:t>
            </w:r>
          </w:p>
        </w:tc>
      </w:tr>
    </w:tbl>
    <w:p>
      <w:pPr>
        <w:spacing w:after="20" w:before="0" w:line="96" w:lineRule="auto"/>
      </w:pPr>
    </w:p>
    <w:p>
      <w:pPr>
        <w:pStyle w:val="Heading2"/>
      </w:pPr>
      <w:r>
        <w:rPr>
          <w:rFonts w:ascii="Noto Sans" w:hAnsi="Noto Sans" w:eastAsia="Noto Sans" w:cs="Noto Sans"/>
          <w:b/>
          <w:color w:val="000000"/>
          <w:sz w:val="24"/>
        </w:rPr>
        <w:t>Need and starting point</w:t>
      </w:r>
    </w:p>
    <w:p>
      <w:r>
        <w:rPr>
          <w:rFonts w:ascii="Noto Sans" w:hAnsi="Noto Sans" w:eastAsia="Noto Sans" w:cs="Noto Sans"/>
        </w:rPr>
        <w:t>[Describe the task, current experience, tool, difficulty and evidence. Separate the team’s statements from what was checked.]</w:t>
      </w:r>
    </w:p>
    <w:p>
      <w:pPr>
        <w:pStyle w:val="Heading2"/>
      </w:pPr>
      <w:r>
        <w:rPr>
          <w:rFonts w:ascii="Noto Sans" w:hAnsi="Noto Sans" w:eastAsia="Noto Sans" w:cs="Noto Sans"/>
          <w:b/>
          <w:color w:val="000000"/>
          <w:sz w:val="24"/>
        </w:rPr>
        <w:t>Priority and recommended programme</w:t>
      </w:r>
    </w:p>
    <w:p>
      <w:r>
        <w:rPr>
          <w:rFonts w:ascii="Noto Sans" w:hAnsi="Noto Sans" w:eastAsia="Noto Sans" w:cs="Noto Sans"/>
        </w:rPr>
        <w:t>[Priority, programme, link, why it fits and capability to check. If no course fits, say so and explain the missing information or alternative needed.]</w:t>
      </w:r>
    </w:p>
    <w:p>
      <w:pPr>
        <w:pStyle w:val="Heading2"/>
      </w:pPr>
      <w:r>
        <w:rPr>
          <w:rFonts w:ascii="Noto Sans" w:hAnsi="Noto Sans" w:eastAsia="Noto Sans" w:cs="Noto Sans"/>
          <w:b/>
          <w:color w:val="000000"/>
          <w:sz w:val="24"/>
        </w:rPr>
        <w:t>Alternatives not selected for now</w:t>
      </w:r>
    </w:p>
    <w:p>
      <w:r>
        <w:rPr>
          <w:rFonts w:ascii="Noto Sans" w:hAnsi="Noto Sans" w:eastAsia="Noto Sans" w:cs="Noto Sans"/>
        </w:rPr>
        <w:t>[Programme or approach, reason and condition for reconsidering it. Do not require a pathway when one course meets the need.]</w:t>
      </w:r>
    </w:p>
    <w:p>
      <w:pPr>
        <w:shd w:fill="EAF4FA"/>
        <w:spacing w:before="160" w:after="160"/>
      </w:pPr>
      <w:r>
        <w:rPr>
          <w:rFonts w:ascii="Noto Sans" w:hAnsi="Noto Sans" w:eastAsia="Noto Sans" w:cs="Noto Sans"/>
          <w:sz w:val="19"/>
        </w:rPr>
        <w:t>The basic package includes a brief recommendation, communication kit and brief group report, together with a reference guide and downloadable, versioned practice materials for internal use. The authorised recipient and group report date are agreed for each edition.</w:t>
      </w:r>
    </w:p>
    <w:p>
      <w:r>
        <w:br w:type="page"/>
      </w:r>
    </w:p>
    <w:p>
      <w:pPr>
        <w:pStyle w:val="Heading1"/>
      </w:pPr>
      <w:r>
        <w:rPr>
          <w:rFonts w:ascii="Noto Sans" w:hAnsi="Noto Sans" w:eastAsia="Noto Sans" w:cs="Noto Sans"/>
          <w:b/>
          <w:color w:val="000000"/>
          <w:sz w:val="36"/>
        </w:rPr>
        <w:t>Scope and next step</w:t>
      </w:r>
    </w:p>
    <w:p>
      <w:pPr>
        <w:pStyle w:val="Heading2"/>
      </w:pPr>
      <w:r>
        <w:rPr>
          <w:rFonts w:ascii="Noto Sans" w:hAnsi="Noto Sans" w:eastAsia="Noto Sans" w:cs="Noto Sans"/>
          <w:b/>
          <w:color w:val="000000"/>
          <w:sz w:val="24"/>
        </w:rPr>
        <w:t>Proposed edition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81"/>
        <w:gridCol w:w="7143"/>
      </w:tblGrid>
      <w:tr>
        <w:trPr>
          <w:tblHeader/>
          <w:cantSplit/>
        </w:trPr>
        <w:tc>
          <w:tcPr>
            <w:tcW w:type="dxa" w:w="2381"/>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Field</w:t>
            </w:r>
          </w:p>
        </w:tc>
        <w:tc>
          <w:tcPr>
            <w:tcW w:type="dxa" w:w="7143"/>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Complete</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Time</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[Live hours and session pattern; additional preparation if agreed]</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Group and language</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[Roles, number, language and delivery mode to confirm]</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Practice and evidence</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[Case, final task and individual evidence]</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Outside scope</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[Administration, implementation, integrations or other boundaries]</w:t>
            </w:r>
          </w:p>
        </w:tc>
      </w:tr>
    </w:tbl>
    <w:p>
      <w:pPr>
        <w:spacing w:after="20" w:before="0" w:line="96" w:lineRule="auto"/>
      </w:pPr>
    </w:p>
    <w:p>
      <w:pPr>
        <w:pStyle w:val="Heading2"/>
      </w:pPr>
      <w:r>
        <w:rPr>
          <w:rFonts w:ascii="Noto Sans" w:hAnsi="Noto Sans" w:eastAsia="Noto Sans" w:cs="Noto Sans"/>
          <w:b/>
          <w:color w:val="000000"/>
          <w:sz w:val="24"/>
        </w:rPr>
        <w:t>Preparation and open questions</w:t>
      </w:r>
    </w:p>
    <w:p>
      <w:pPr>
        <w:pStyle w:val="ListBullet"/>
      </w:pPr>
      <w:r>
        <w:rPr>
          <w:rFonts w:ascii="Noto Sans" w:hAnsi="Noto Sans" w:eastAsia="Noto Sans" w:cs="Noto Sans"/>
        </w:rPr>
        <w:t>[TOF prepares the checklist; the trainer tests the practice; the client checks accounts and permissions. Agree the date, result and fallback for blockers.]</w:t>
      </w:r>
    </w:p>
    <w:p>
      <w:pPr>
        <w:pStyle w:val="ListBullet"/>
      </w:pPr>
      <w:r>
        <w:rPr>
          <w:rFonts w:ascii="Noto Sans" w:hAnsi="Noto Sans" w:eastAsia="Noto Sans" w:cs="Noto Sans"/>
        </w:rPr>
        <w:t>[Trainer availability, schedule and commercial terms]</w:t>
      </w:r>
    </w:p>
    <w:p>
      <w:pPr>
        <w:pStyle w:val="ListBullet"/>
      </w:pPr>
      <w:r>
        <w:rPr>
          <w:rFonts w:ascii="Noto Sans" w:hAnsi="Noto Sans" w:eastAsia="Noto Sans" w:cs="Noto Sans"/>
        </w:rPr>
        <w:t>A brief group report is included. Authorised recipients and the delivery date are agreed; it summarises classroom capabilities and difficulties without rankings or job-performance assessment.</w:t>
      </w:r>
    </w:p>
    <w:p>
      <w:r>
        <w:rPr>
          <w:rFonts w:ascii="Noto Sans" w:hAnsi="Noto Sans" w:eastAsia="Noto Sans" w:cs="Noto Sans"/>
        </w:rPr>
        <w:t>Participation needs are raised through the agreed private channel, without requesting diagnoses. Specific support arrangements are confirmed before the edition.</w:t>
      </w:r>
    </w:p>
    <w:p>
      <w:pPr>
        <w:pStyle w:val="Heading2"/>
      </w:pPr>
      <w:r>
        <w:rPr>
          <w:rFonts w:ascii="Noto Sans" w:hAnsi="Noto Sans" w:eastAsia="Noto Sans" w:cs="Noto Sans"/>
          <w:b/>
          <w:color w:val="000000"/>
          <w:sz w:val="24"/>
        </w:rPr>
        <w:t>Budget and confirmation</w:t>
      </w:r>
    </w:p>
    <w:p>
      <w:r>
        <w:rPr>
          <w:rFonts w:ascii="Noto Sans" w:hAnsi="Noto Sans" w:eastAsia="Noto Sans" w:cs="Noto Sans"/>
        </w:rPr>
        <w:t>[Quote reference, fee, taxes and licences. Write pending if no quote exists. Agree the brief recommendation’s delivery date and recipients.] FUNDAE: external administration remains to be arranged. TOF provides administrative training documentation; it does not process or guarantee subsidisation.</w:t>
      </w:r>
    </w:p>
    <w:p>
      <w:pPr>
        <w:shd w:fill="EAF4FA"/>
        <w:spacing w:before="160" w:after="160"/>
      </w:pPr>
      <w:r>
        <w:rPr>
          <w:rFonts w:ascii="Noto Sans" w:hAnsi="Noto Sans" w:eastAsia="Noto Sans" w:cs="Noto Sans"/>
          <w:sz w:val="19"/>
        </w:rPr>
        <w:t>The client can retain an internal-use copy of the materials. The proposal records the inventory, version and the date until which TOF’s link will be available for the edition. Indefinite link access and future updates are not promised. Recordings require prior agreement. One calendar month of email support after the final session, covering the content taught: up to two hours in total for the whole group, with a response within two working days.</w:t>
      </w:r>
    </w:p>
    <w:sectPr w:rsidR="00FC693F" w:rsidRPr="0006063C" w:rsidSect="00034616">
      <w:headerReference w:type="default" r:id="rId9"/>
      <w:footerReference w:type="default" r:id="rId10"/>
      <w:pgSz w:w="11906" w:h="16838"/>
      <w:pgMar w:top="935" w:right="1191" w:bottom="907" w:left="1191" w:header="340" w:footer="369" w:gutter="0"/>
      <w:cols w:space="720"/>
      <w:docGrid w:linePitch="360"/>
    </w:sectPr>
  </w:body>
</w:document>
</file>

<file path=word/fontTable.xml><?xml version="1.0" encoding="utf-8"?>
<ns0:fonts xmlns:ns0="http://schemas.openxmlformats.org/wordprocessingml/2006/main" xmlns:ns1="http://schemas.openxmlformats.org/markup-compatibility/2006" ns1:Ignorable="w14">
  <ns0:font ns0:name="Symbol">
    <ns0:panose1 ns0:val="00000000000000000000"/>
    <ns0:charset ns0:val="02"/>
    <ns0:family ns0:val="auto"/>
    <ns0:pitch ns0:val="variable"/>
    <ns0:sig ns0:usb0="00000000" ns0:usb1="10000000" ns0:usb2="00000000" ns0:usb3="00000000" ns0:csb0="80000000" ns0:csb1="00000000"/>
  </ns0:font>
  <ns0:font ns0:name="Times New Roman">
    <ns0:panose1 ns0:val="02020603050405020304"/>
    <ns0:charset ns0:val="00"/>
    <ns0:family ns0:val="auto"/>
    <ns0:pitch ns0:val="variable"/>
    <ns0:sig ns0:usb0="E0002AFF" ns0:usb1="C0007841" ns0:usb2="00000009" ns0:usb3="00000000" ns0:csb0="000001FF" ns0:csb1="00000000"/>
  </ns0:font>
  <ns0:font ns0:name="Cambria">
    <ns0:panose1 ns0:val="02040503050406030204"/>
    <ns0:charset ns0:val="00"/>
    <ns0:family ns0:val="auto"/>
    <ns0:pitch ns0:val="variable"/>
    <ns0:sig ns0:usb0="E00002FF" ns0:usb1="400004FF" ns0:usb2="00000000" ns0:usb3="00000000" ns0:csb0="0000019F" ns0:csb1="00000000"/>
  </ns0:font>
  <ns0:font ns0:name="ＭＳ 明朝">
    <ns0:panose1 ns0:val="00000000000000000000"/>
    <ns0:charset ns0:val="80"/>
    <ns0:family ns0:val="roman"/>
    <ns0:notTrueType/>
    <ns0:pitch ns0:val="fixed"/>
    <ns0:sig ns0:usb0="00000001" ns0:usb1="08070000" ns0:usb2="00000010" ns0:usb3="00000000" ns0:csb0="00020000" ns0:csb1="00000000"/>
  </ns0:font>
  <ns0:font ns0:name="Calibri">
    <ns0:panose1 ns0:val="020F0502020204030204"/>
    <ns0:charset ns0:val="00"/>
    <ns0:family ns0:val="auto"/>
    <ns0:pitch ns0:val="variable"/>
    <ns0:sig ns0:usb0="E10002FF" ns0:usb1="4000ACFF" ns0:usb2="00000009" ns0:usb3="00000000" ns0:csb0="0000019F" ns0:csb1="00000000"/>
  </ns0:font>
  <ns0:font ns0:name="ＭＳ ゴシック">
    <ns0:panose1 ns0:val="00000000000000000000"/>
    <ns0:charset ns0:val="80"/>
    <ns0:family ns0:val="modern"/>
    <ns0:notTrueType/>
    <ns0:pitch ns0:val="fixed"/>
    <ns0:sig ns0:usb0="00000001" ns0:usb1="08070000" ns0:usb2="00000010" ns0:usb3="00000000" ns0:csb0="00020000" ns0:csb1="00000000"/>
  </ns0:font>
  <ns0:font ns0:name="Courier">
    <ns0:panose1 ns0:val="02000500000000000000"/>
    <ns0:charset ns0:val="00"/>
    <ns0:family ns0:val="auto"/>
    <ns0:pitch ns0:val="variable"/>
    <ns0:sig ns0:usb0="00000003" ns0:usb1="00000000" ns0:usb2="00000000" ns0:usb3="00000000" ns0:csb0="00000001" ns0:csb1="00000000"/>
  </ns0:font>
  <ns0:font ns0:name="Arial">
    <ns0:panose1 ns0:val="020B0604020202020204"/>
    <ns0:charset ns0:val="00"/>
    <ns0:family ns0:val="auto"/>
    <ns0:pitch ns0:val="variable"/>
    <ns0:sig ns0:usb0="E0002AFF" ns0:usb1="C0007843" ns0:usb2="00000009" ns0:usb3="00000000" ns0:csb0="000001FF" ns0:csb1="00000000"/>
  </ns0:font>
  <ns0:font ns0:name="Noto Sans">
    <ns0:altName ns0:val="Noto Sans"/>
    <ns0:family ns0:val="swiss"/>
    <ns0:pitch ns0:val="variable"/>
    <ns0:charset ns0:val="00"/>
    <ns0:panose1 ns0:val="020B0504020202020204"/>
  </ns0:font>
</ns0: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Noto Sans" w:hAnsi="Noto Sans" w:eastAsia="Noto Sans" w:cs="Noto Sans"/>
        <w:b w:val="0"/>
        <w:color w:val="5C7180"/>
        <w:sz w:val="16"/>
      </w:rPr>
      <w:t xml:space="preserve">TOF Learn · AX06 · v2 · </w:t>
    </w:r>
    <w:fldSimple w:instr="PAGE">
      <w:r>
        <w:t>1</w:t>
      </w:r>
    </w:fldSimple>
    <w:r>
      <w:rPr>
        <w:rFonts w:ascii="Noto Sans" w:hAnsi="Noto Sans" w:eastAsia="Noto Sans" w:cs="Noto Sans"/>
        <w:b w:val="0"/>
        <w:color w:val="5C7180"/>
        <w:sz w:val="16"/>
      </w:rPr>
      <w:t xml:space="preserve"> /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524" w:val="right"/>
      </w:tabs>
    </w:pPr>
    <w:r>
      <w:rPr>
        <w:rFonts w:ascii="Noto Sans" w:hAnsi="Noto Sans" w:eastAsia="Noto Sans" w:cs="Noto Sans"/>
        <w:b/>
        <w:color w:val="000000"/>
        <w:sz w:val="18"/>
      </w:rPr>
      <w:t>The Optimal Flow  /  learn</w:t>
    </w:r>
    <w:r>
      <w:rPr>
        <w:rFonts w:ascii="Noto Sans" w:hAnsi="Noto Sans" w:eastAsia="Noto Sans" w:cs="Noto Sans"/>
        <w:b w:val="0"/>
        <w:color w:val="5C7180"/>
        <w:sz w:val="16"/>
      </w:rPr>
      <w:tab/>
      <w:t>EDITABLE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en-G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1" w:lineRule="auto"/>
    </w:pPr>
    <w:rPr>
      <w:rFonts w:ascii="Noto Sans" w:hAnsi="Noto Sans"/>
      <w:color w:val="183746"/>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Noto Sans" w:hAnsi="Noto Sans"/>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Noto Sans" w:hAnsi="Noto San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keepNext/>
      <w:spacing w:after="120" w:line="240" w:lineRule="auto" w:before="80"/>
      <w:contextualSpacing/>
    </w:pPr>
    <w:rPr>
      <w:rFonts w:ascii="Noto Sans" w:hAnsi="Noto Sans"/>
      <w:b/>
      <w:color w:val="000000"/>
      <w:spacing w:val="5"/>
      <w:kern w:val="28"/>
      <w:sz w:val="48"/>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Training recommendation</dc:title>
  <dc:subject>TOF Learn · AX06</dc:subject>
  <dc:creator>The Optimal Flow</dc:creator>
  <cp:keywords>Learn, editable, plantilla, template, en</cp:keywords>
  <dc:description>generated by python-docx</dc:description>
  <cp:lastModifiedBy/>
  <cp:revision>1</cp:revision>
  <dcterms:created xsi:type="dcterms:W3CDTF">2026-10-13T00:00:00Z</dcterms:created>
  <dcterms:modified xsi:type="dcterms:W3CDTF">2013-12-23T23:15:00Z</dcterms:modified>
  <cp:category/>
</cp:coreProperties>
</file>