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Recomendación de formación</w:t>
      </w:r>
    </w:p>
    <w:p>
      <w:pPr>
        <w:spacing w:after="240"/>
      </w:pPr>
      <w:r>
        <w:rPr>
          <w:rFonts w:ascii="Noto Sans" w:hAnsi="Noto Sans" w:eastAsia="Noto Sans" w:cs="Noto Sans"/>
          <w:b w:val="0"/>
          <w:color w:val="5C7180"/>
          <w:sz w:val="20"/>
        </w:rPr>
        <w:t>Completar y adaptar antes de utilizar</w:t>
      </w:r>
    </w:p>
    <w:p>
      <w:r>
        <w:rPr>
          <w:rFonts w:ascii="Noto Sans" w:hAnsi="Noto Sans" w:eastAsia="Noto Sans" w:cs="Noto Sans"/>
        </w:rPr>
        <w:t>Deja por escrito la recomendación tras conversar con el equipo. Distingue lo observado, la propuesta y las cuestiones pendientes. No sustituye al presupuesto ni confirma una edición.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Empresa y equipo</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[Organización, área y perfiles; sin datos innecesarios]</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Conversación y fuentes</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[Fecha, interlocutor y ejemplos autorizados revisados]</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Preparó y revisó</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[Responsables y versión]</w:t>
            </w:r>
          </w:p>
        </w:tc>
      </w:tr>
    </w:tbl>
    <w:p>
      <w:pPr>
        <w:spacing w:after="20" w:before="0" w:line="96" w:lineRule="auto"/>
      </w:pPr>
    </w:p>
    <w:p>
      <w:pPr>
        <w:pStyle w:val="Heading2"/>
      </w:pPr>
      <w:r>
        <w:rPr>
          <w:rFonts w:ascii="Noto Sans" w:hAnsi="Noto Sans" w:eastAsia="Noto Sans" w:cs="Noto Sans"/>
          <w:b/>
          <w:color w:val="000000"/>
          <w:sz w:val="24"/>
        </w:rPr>
        <w:t>Necesidad y punto de partida</w:t>
      </w:r>
    </w:p>
    <w:p>
      <w:r>
        <w:rPr>
          <w:rFonts w:ascii="Noto Sans" w:hAnsi="Noto Sans" w:eastAsia="Noto Sans" w:cs="Noto Sans"/>
        </w:rPr>
        <w:t>[Describe la tarea, experiencia actual, herramienta, dificultad y evidencia. Separa lo declarado por el equipo de lo comprobado.]</w:t>
      </w:r>
    </w:p>
    <w:p>
      <w:pPr>
        <w:pStyle w:val="Heading2"/>
      </w:pPr>
      <w:r>
        <w:rPr>
          <w:rFonts w:ascii="Noto Sans" w:hAnsi="Noto Sans" w:eastAsia="Noto Sans" w:cs="Noto Sans"/>
          <w:b/>
          <w:color w:val="000000"/>
          <w:sz w:val="24"/>
        </w:rPr>
        <w:t>Prioridad y programa recomendado</w:t>
      </w:r>
    </w:p>
    <w:p>
      <w:r>
        <w:rPr>
          <w:rFonts w:ascii="Noto Sans" w:hAnsi="Noto Sans" w:eastAsia="Noto Sans" w:cs="Noto Sans"/>
        </w:rPr>
        <w:t>[Prioridad, programa, enlace, por qué encaja y capacidad que se comprobará. Si no encaja un curso, dilo y explica qué dato falta o qué alternativa se necesita.]</w:t>
      </w:r>
    </w:p>
    <w:p>
      <w:pPr>
        <w:pStyle w:val="Heading2"/>
      </w:pPr>
      <w:r>
        <w:rPr>
          <w:rFonts w:ascii="Noto Sans" w:hAnsi="Noto Sans" w:eastAsia="Noto Sans" w:cs="Noto Sans"/>
          <w:b/>
          <w:color w:val="000000"/>
          <w:sz w:val="24"/>
        </w:rPr>
        <w:t>Alternativas descartadas por ahora</w:t>
      </w:r>
    </w:p>
    <w:p>
      <w:r>
        <w:rPr>
          <w:rFonts w:ascii="Noto Sans" w:hAnsi="Noto Sans" w:eastAsia="Noto Sans" w:cs="Noto Sans"/>
        </w:rPr>
        <w:t>[Programa o enfoque, motivo y condición que justificaría revisarlo. No impongas un recorrido si una ficha resuelve la necesidad.]</w:t>
      </w:r>
    </w:p>
    <w:p>
      <w:pPr>
        <w:shd w:fill="EAF4FA"/>
        <w:spacing w:before="160" w:after="160"/>
      </w:pPr>
      <w:r>
        <w:rPr>
          <w:rFonts w:ascii="Noto Sans" w:hAnsi="Noto Sans" w:eastAsia="Noto Sans" w:cs="Noto Sans"/>
          <w:sz w:val="19"/>
        </w:rPr>
        <w:t>El paquete básico incluye recomendación breve, kit de comunicación e informe breve de grupo, además de guía y materiales de práctica descargables y versionados para uso interno. El destinatario autorizado y la fecha del informe de grupo se acuerdan por edición.</w:t>
      </w:r>
    </w:p>
    <w:p>
      <w:r>
        <w:br w:type="page"/>
      </w:r>
    </w:p>
    <w:p>
      <w:pPr>
        <w:pStyle w:val="Heading1"/>
      </w:pPr>
      <w:r>
        <w:rPr>
          <w:rFonts w:ascii="Noto Sans" w:hAnsi="Noto Sans" w:eastAsia="Noto Sans" w:cs="Noto Sans"/>
          <w:b/>
          <w:color w:val="000000"/>
          <w:sz w:val="36"/>
        </w:rPr>
        <w:t>Alcance y siguiente paso</w:t>
      </w:r>
    </w:p>
    <w:p>
      <w:pPr>
        <w:pStyle w:val="Heading2"/>
      </w:pPr>
      <w:r>
        <w:rPr>
          <w:rFonts w:ascii="Noto Sans" w:hAnsi="Noto Sans" w:eastAsia="Noto Sans" w:cs="Noto Sans"/>
          <w:b/>
          <w:color w:val="000000"/>
          <w:sz w:val="24"/>
        </w:rPr>
        <w:t>Edición propuesta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143"/>
      </w:tblGrid>
      <w:tr>
        <w:trPr>
          <w:tblHeader/>
          <w:cantSplit/>
        </w:trPr>
        <w:tc>
          <w:tcPr>
            <w:tcW w:type="dxa" w:w="2381"/>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Dato</w:t>
            </w:r>
          </w:p>
        </w:tc>
        <w:tc>
          <w:tcPr>
            <w:tcW w:type="dxa" w:w="7143"/>
            <w:vAlign w:val="center"/>
            <w:shd w:fill="EAF4FA"/>
            <w:tcMar>
              <w:top w:w="90" w:type="dxa"/>
              <w:bottom w:w="90" w:type="dxa"/>
              <w:left w:w="120" w:type="dxa"/>
              <w:right w:w="120" w:type="dxa"/>
            </w:tcMar>
          </w:tcPr>
          <w:p>
            <w:pPr>
              <w:spacing w:after="60" w:before="60" w:line="269" w:lineRule="auto"/>
            </w:pPr>
            <w:r>
              <w:rPr>
                <w:rFonts w:ascii="Noto Sans" w:hAnsi="Noto Sans" w:eastAsia="Noto Sans" w:cs="Noto Sans"/>
                <w:b/>
                <w:color w:val="000000"/>
                <w:sz w:val="19"/>
              </w:rPr>
              <w:t>Completar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Dedicación</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[Horas en directo y distribución; preparación adicional si se acuerda]</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Grupo e idioma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[Perfiles, número, idioma y modalidad por confirmar]</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Práctica y evidencia</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[Caso, tarea final y evidencia individual]</w:t>
            </w:r>
          </w:p>
        </w:tc>
      </w:tr>
      <w:tr>
        <w:trPr>
          <w:cantSplit/>
        </w:trPr>
        <w:tc>
          <w:tcPr>
            <w:tcW w:type="dxa" w:w="2381"/>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Fuera del alcance</w:t>
            </w:r>
          </w:p>
        </w:tc>
        <w:tc>
          <w:tcPr>
            <w:tcW w:type="dxa" w:w="7143"/>
            <w:vAlign w:val="center"/>
            <w:tcMar>
              <w:top w:w="90" w:type="dxa"/>
              <w:bottom w:w="90" w:type="dxa"/>
              <w:left w:w="120" w:type="dxa"/>
              <w:right w:w="120" w:type="dxa"/>
            </w:tcMar>
          </w:tcPr>
          <w:p>
            <w:pPr>
              <w:spacing w:after="60" w:before="60" w:line="269" w:lineRule="auto"/>
            </w:pPr>
            <w:r>
              <w:rPr>
                <w:rFonts w:ascii="Noto Sans" w:hAnsi="Noto Sans" w:eastAsia="Noto Sans" w:cs="Noto Sans"/>
                <w:b w:val="0"/>
                <w:color w:val="183746"/>
                <w:sz w:val="19"/>
              </w:rPr>
              <w:t>[Administración, implantación, integraciones u otros límites]</w:t>
            </w:r>
          </w:p>
        </w:tc>
      </w:tr>
    </w:tbl>
    <w:p>
      <w:pPr>
        <w:spacing w:after="20" w:before="0" w:line="96" w:lineRule="auto"/>
      </w:pPr>
    </w:p>
    <w:p>
      <w:pPr>
        <w:pStyle w:val="Heading2"/>
      </w:pPr>
      <w:r>
        <w:rPr>
          <w:rFonts w:ascii="Noto Sans" w:hAnsi="Noto Sans" w:eastAsia="Noto Sans" w:cs="Noto Sans"/>
          <w:b/>
          <w:color w:val="000000"/>
          <w:sz w:val="24"/>
        </w:rPr>
        <w:t>Preparación y asuntos pendientes</w:t>
      </w:r>
    </w:p>
    <w:p>
      <w:pPr>
        <w:pStyle w:val="ListBullet"/>
      </w:pPr>
      <w:r>
        <w:rPr>
          <w:rFonts w:ascii="Noto Sans" w:hAnsi="Noto Sans" w:eastAsia="Noto Sans" w:cs="Noto Sans"/>
        </w:rPr>
        <w:t>[TOF prepara el checklist; el docente ensaya la práctica; el cliente prueba cuentas y permisos. Fecha, resultado y alternativa ante bloqueos por acordar.]</w:t>
      </w:r>
    </w:p>
    <w:p>
      <w:pPr>
        <w:pStyle w:val="ListBullet"/>
      </w:pPr>
      <w:r>
        <w:rPr>
          <w:rFonts w:ascii="Noto Sans" w:hAnsi="Noto Sans" w:eastAsia="Noto Sans" w:cs="Noto Sans"/>
        </w:rPr>
        <w:t>[Disponibilidad docente, calendario y condiciones comerciales]</w:t>
      </w:r>
    </w:p>
    <w:p>
      <w:pPr>
        <w:pStyle w:val="ListBullet"/>
      </w:pPr>
      <w:r>
        <w:rPr>
          <w:rFonts w:ascii="Noto Sans" w:hAnsi="Noto Sans" w:eastAsia="Noto Sans" w:cs="Noto Sans"/>
        </w:rPr>
        <w:t>El informe breve de grupo está incluido. Se acuerdan destinatarios autorizados y fecha de entrega; resume capacidades y dificultades observadas en aula, sin rankings ni evaluación del rendimiento laboral.</w:t>
      </w:r>
    </w:p>
    <w:p>
      <w:r>
        <w:rPr>
          <w:rFonts w:ascii="Noto Sans" w:hAnsi="Noto Sans" w:eastAsia="Noto Sans" w:cs="Noto Sans"/>
        </w:rPr>
        <w:t>Las necesidades funcionales se comunican por el canal privado acordado, sin pedir diagnósticos. Los apoyos específicos se confirman antes de la edición.</w:t>
      </w:r>
    </w:p>
    <w:p>
      <w:pPr>
        <w:pStyle w:val="Heading2"/>
      </w:pPr>
      <w:r>
        <w:rPr>
          <w:rFonts w:ascii="Noto Sans" w:hAnsi="Noto Sans" w:eastAsia="Noto Sans" w:cs="Noto Sans"/>
          <w:b/>
          <w:color w:val="000000"/>
          <w:sz w:val="24"/>
        </w:rPr>
        <w:t>Presupuesto y confirmación</w:t>
      </w:r>
    </w:p>
    <w:p>
      <w:r>
        <w:rPr>
          <w:rFonts w:ascii="Noto Sans" w:hAnsi="Noto Sans" w:eastAsia="Noto Sans" w:cs="Noto Sans"/>
        </w:rPr>
        <w:t>[Referencia de propuesta, importe, impuestos y licencias. Si no hay presupuesto, escribe pendiente. Fecha de entrega de la recomendación breve y destinatarios por acordar.] FUNDAE: gestión externa aún por concretar. TOF aporta documentación administrativa de la formación; no tramita la bonificación ni garantiza su aplicación.</w:t>
      </w:r>
    </w:p>
    <w:p>
      <w:pPr>
        <w:shd w:fill="EAF4FA"/>
        <w:spacing w:before="160" w:after="160"/>
      </w:pPr>
      <w:r>
        <w:rPr>
          <w:rFonts w:ascii="Noto Sans" w:hAnsi="Noto Sans" w:eastAsia="Noto Sans" w:cs="Noto Sans"/>
          <w:sz w:val="19"/>
        </w:rPr>
        <w:t>El cliente puede conservar su copia de los materiales para uso interno. La propuesta concreta inventario, versión y fecha hasta la que estará disponible el enlace de TOF por edición. No se promete acceso indefinido al enlace ni futuras actualizaciones. Las grabaciones requieren acuerdo previo. Un mes natural de soporte por correo tras la última sesión, sobre el contenido impartido: hasta dos horas acumuladas para el conjunto del grupo, con respuesta en un máximo de dos días laborables.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AX06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PLANTILLA EDITABLE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s-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de formación</dc:title>
  <dc:subject>TOF Learn · AX06</dc:subject>
  <dc:creator>The Optimal Flow</dc:creator>
  <cp:keywords>Learn, editable, plantilla, template, es</cp:keywords>
  <dc:description>generated by python-docx</dc:description>
  <cp:lastModifiedBy/>
  <cp:revision>1</cp:revision>
  <dcterms:created xsi:type="dcterms:W3CDTF">2026-10-13T00:00:00Z</dcterms:created>
  <dcterms:modified xsi:type="dcterms:W3CDTF">2013-12-23T23:15:00Z</dcterms:modified>
  <cp:category/>
</cp:coreProperties>
</file>